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drawing>
          <wp:inline distT="0" distB="0" distL="0" distR="0">
            <wp:extent cx="1047115" cy="798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29" r="-23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20" w:type="dxa"/>
        <w:jc w:val="left"/>
        <w:tblInd w:w="0" w:type="dxa"/>
        <w:tblBorders>
          <w:bottom w:val="single" w:sz="18" w:space="0" w:color="000000"/>
          <w:insideH w:val="single" w:sz="18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/>
        <w:tc>
          <w:tcPr>
            <w:tcW w:w="1032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3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38"/>
                <w:szCs w:val="20"/>
                <w:lang w:eastAsia="ru-RU"/>
              </w:rPr>
              <w:t>ДЕПАРТАМЕНТ СОЦИАЛЬНОГО РАЗВИТИЯ ТЮМЕНСКОЙ ОБЛАСТИ</w:t>
            </w:r>
          </w:p>
        </w:tc>
      </w:tr>
      <w:tr>
        <w:trPr/>
        <w:tc>
          <w:tcPr>
            <w:tcW w:w="10320" w:type="dxa"/>
            <w:tcBorders>
              <w:top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keepNext/>
              <w:snapToGrid w:val="false"/>
              <w:spacing w:lineRule="auto" w:line="120"/>
              <w:ind w:left="0" w:right="0" w:hanging="0"/>
              <w:jc w:val="center"/>
              <w:rPr>
                <w:b/>
                <w:b/>
                <w:sz w:val="4"/>
                <w:szCs w:val="20"/>
              </w:rPr>
            </w:pPr>
            <w:r>
              <w:rPr>
                <w:b/>
                <w:sz w:val="4"/>
                <w:szCs w:val="20"/>
              </w:rPr>
            </w:r>
          </w:p>
        </w:tc>
      </w:tr>
    </w:tbl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keepNext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38"/>
          <w:szCs w:val="38"/>
          <w:lang w:eastAsia="ru-RU"/>
        </w:rPr>
      </w:pPr>
      <w:r>
        <w:rPr>
          <w:rFonts w:eastAsia="Times New Roman" w:cs="Times New Roman"/>
          <w:b/>
          <w:sz w:val="38"/>
          <w:szCs w:val="38"/>
          <w:lang w:eastAsia="ru-RU"/>
        </w:rPr>
        <w:t>РАСПОРЯЖЕНИЕ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 xml:space="preserve">    </w:t>
      </w:r>
    </w:p>
    <w:tbl>
      <w:tblPr>
        <w:tblW w:w="942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5528"/>
        <w:gridCol w:w="1276"/>
      </w:tblGrid>
      <w:tr>
        <w:trPr/>
        <w:tc>
          <w:tcPr>
            <w:tcW w:w="26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0"/>
              </w:rPr>
            </w:pPr>
            <w:r>
              <w:rPr>
                <w:rFonts w:cs="Arial" w:ascii="Arial" w:hAnsi="Arial"/>
                <w:b/>
                <w:sz w:val="26"/>
                <w:szCs w:val="20"/>
              </w:rPr>
              <w:t>06.09.2017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№</w:t>
            </w:r>
          </w:p>
        </w:tc>
        <w:tc>
          <w:tcPr>
            <w:tcW w:w="12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0"/>
              </w:rPr>
            </w:pPr>
            <w:r>
              <w:rPr>
                <w:rFonts w:cs="Arial" w:ascii="Arial" w:hAnsi="Arial"/>
                <w:b/>
                <w:sz w:val="26"/>
                <w:szCs w:val="20"/>
              </w:rPr>
              <w:t xml:space="preserve">   </w:t>
            </w:r>
            <w:r>
              <w:rPr>
                <w:rFonts w:cs="Arial" w:ascii="Arial" w:hAnsi="Arial"/>
                <w:b/>
                <w:sz w:val="26"/>
                <w:szCs w:val="20"/>
              </w:rPr>
              <w:t>24-р</w:t>
            </w:r>
          </w:p>
        </w:tc>
      </w:tr>
    </w:tbl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0"/>
        </w:rPr>
      </w:pPr>
      <w:r>
        <w:rPr>
          <w:rFonts w:cs="Arial" w:ascii="Arial" w:hAnsi="Arial"/>
          <w:sz w:val="26"/>
          <w:szCs w:val="20"/>
        </w:rPr>
        <w:t>г. Тюмень</w:t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5245"/>
      </w:tblGrid>
      <w:tr>
        <w:trPr/>
        <w:tc>
          <w:tcPr>
            <w:tcW w:w="4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Cs/>
                <w:i/>
                <w:sz w:val="26"/>
                <w:szCs w:val="26"/>
                <w:lang w:eastAsia="ru-RU"/>
              </w:rPr>
              <w:t>О внесении изменени</w:t>
            </w:r>
            <w:r>
              <w:rPr>
                <w:rFonts w:eastAsia="Times New Roman" w:cs="Arial" w:ascii="Arial" w:hAnsi="Arial"/>
                <w:bCs/>
                <w:i/>
                <w:sz w:val="26"/>
                <w:szCs w:val="26"/>
                <w:lang w:eastAsia="ru-RU"/>
              </w:rPr>
              <w:t>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Cs/>
                <w:i/>
                <w:sz w:val="26"/>
                <w:szCs w:val="26"/>
                <w:lang w:eastAsia="ru-RU"/>
              </w:rPr>
              <w:t xml:space="preserve">в распоряжение 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 w:val="false"/>
                <w:bCs/>
                <w:i/>
                <w:iCs/>
                <w:strike w:val="false"/>
                <w:dstrike w:val="false"/>
                <w:sz w:val="26"/>
                <w:szCs w:val="26"/>
                <w:u w:val="none"/>
                <w:lang w:eastAsia="ru-RU"/>
              </w:rPr>
              <w:t>от 25.06.2012 № 8-р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iCs/>
                <w:strike w:val="false"/>
                <w:dstrike w:val="false"/>
                <w:sz w:val="26"/>
                <w:szCs w:val="24"/>
                <w:u w:val="none"/>
                <w:lang w:eastAsia="ru-RU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6"/>
                <w:szCs w:val="20"/>
              </w:rPr>
            </w:pPr>
            <w:r>
              <w:rPr>
                <w:rFonts w:cs="Arial" w:ascii="Arial" w:hAnsi="Arial"/>
                <w:i/>
                <w:sz w:val="26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26"/>
                <w:szCs w:val="20"/>
              </w:rPr>
            </w:pPr>
            <w:r>
              <w:rPr>
                <w:rFonts w:cs="Arial" w:ascii="Arial" w:hAnsi="Arial"/>
                <w:i/>
                <w:sz w:val="26"/>
                <w:szCs w:val="20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В соответствии с постановлением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 в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 xml:space="preserve">нести изменение в распоряжение Департамента социального развития Тюменской области от 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>25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 xml:space="preserve">.06.2012 № 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>8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 xml:space="preserve">-р «Об утверждении административных регламентов», изложив приложение № 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>7</w:t>
      </w:r>
      <w:r>
        <w:rPr>
          <w:rFonts w:eastAsia="Times New Roman" w:cs="Arial" w:ascii="Arial" w:hAnsi="Arial"/>
          <w:bCs/>
          <w:sz w:val="26"/>
          <w:szCs w:val="26"/>
          <w:lang w:eastAsia="ru-RU"/>
        </w:rPr>
        <w:t xml:space="preserve"> к распоряжению в новой редакции согласно приложению к настоящему распоряжению.</w:t>
      </w:r>
    </w:p>
    <w:p>
      <w:pPr>
        <w:pStyle w:val="Normal"/>
        <w:spacing w:before="0" w:after="0"/>
        <w:ind w:left="0" w:right="0" w:firstLine="709"/>
        <w:jc w:val="both"/>
        <w:rPr>
          <w:rStyle w:val="21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111111"/>
          <w:sz w:val="26"/>
          <w:u w:val="none"/>
          <w:lang w:val="ru-RU" w:eastAsia="zh-CN" w:bidi="hi-IN"/>
        </w:rPr>
      </w:pPr>
      <w:r>
        <w:rPr>
          <w:rFonts w:cs="Arial" w:ascii="Arial" w:hAnsi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eastAsia="Arial" w:cs="Arial"/>
          <w:b w:val="false"/>
          <w:bCs w:val="false"/>
          <w:strike w:val="false"/>
          <w:dstrike w:val="false"/>
          <w:sz w:val="24"/>
          <w:szCs w:val="24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ConsPlusNormal"/>
        <w:jc w:val="both"/>
        <w:rPr>
          <w:rFonts w:ascii="Arial" w:hAnsi="Arial" w:eastAsia="Arial" w:cs="Arial"/>
          <w:b/>
          <w:b/>
          <w:strike/>
          <w:sz w:val="22"/>
          <w:szCs w:val="26"/>
          <w:highlight w:val="yellow"/>
        </w:rPr>
      </w:pPr>
      <w:r>
        <w:rPr>
          <w:rFonts w:eastAsia="Arial" w:cs="Arial"/>
          <w:b/>
          <w:strike/>
          <w:sz w:val="22"/>
          <w:szCs w:val="26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И.о. </w:t>
      </w:r>
      <w:r>
        <w:rPr>
          <w:rFonts w:eastAsia="Times New Roman" w:cs="Arial" w:ascii="Arial" w:hAnsi="Arial"/>
          <w:b w:val="false"/>
          <w:bCs w:val="false"/>
          <w:sz w:val="26"/>
          <w:szCs w:val="26"/>
          <w:lang w:eastAsia="ru-RU"/>
        </w:rPr>
        <w:t>директор</w:t>
      </w:r>
      <w:r>
        <w:rPr>
          <w:rFonts w:eastAsia="Times New Roman" w:cs="Arial" w:ascii="Arial" w:hAnsi="Arial"/>
          <w:b w:val="false"/>
          <w:bCs w:val="false"/>
          <w:sz w:val="26"/>
          <w:szCs w:val="26"/>
          <w:lang w:eastAsia="ru-RU"/>
        </w:rPr>
        <w:t>а</w:t>
      </w:r>
      <w:r>
        <w:rPr>
          <w:rFonts w:eastAsia="Times New Roman" w:cs="Arial" w:ascii="Arial" w:hAnsi="Arial"/>
          <w:b w:val="false"/>
          <w:bCs w:val="false"/>
          <w:sz w:val="26"/>
          <w:szCs w:val="26"/>
          <w:lang w:eastAsia="ru-RU"/>
        </w:rPr>
        <w:t xml:space="preserve"> Департамента </w:t>
      </w:r>
      <w:r>
        <w:rPr>
          <w:rFonts w:eastAsia="Times New Roman" w:cs="Arial" w:ascii="Arial" w:hAnsi="Arial"/>
          <w:b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eastAsia="Times New Roman" w:cs="Arial" w:ascii="Arial" w:hAnsi="Arial"/>
          <w:b/>
          <w:sz w:val="26"/>
          <w:szCs w:val="26"/>
          <w:lang w:eastAsia="ru-RU"/>
        </w:rPr>
        <w:t>Т.И. Баринова</w:t>
      </w:r>
    </w:p>
    <w:p>
      <w:pPr>
        <w:pStyle w:val="Normal"/>
        <w:rPr>
          <w:rFonts w:ascii="Arial" w:hAnsi="Arial" w:cs="Arial"/>
          <w:sz w:val="26"/>
          <w:szCs w:val="20"/>
        </w:rPr>
      </w:pPr>
      <w:r>
        <w:rPr>
          <w:rFonts w:cs="Arial" w:ascii="Arial" w:hAnsi="Arial"/>
          <w:sz w:val="26"/>
          <w:szCs w:val="20"/>
        </w:rPr>
      </w:r>
    </w:p>
    <w:p>
      <w:pPr>
        <w:pStyle w:val="3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3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3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3"/>
        <w:numPr>
          <w:ilvl w:val="2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3"/>
        <w:numPr>
          <w:ilvl w:val="2"/>
          <w:numId w:val="1"/>
        </w:numPr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к распоряжению Департамента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социального развития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Тюменской области </w:t>
      </w:r>
    </w:p>
    <w:p>
      <w:pPr>
        <w:pStyle w:val="Normal"/>
        <w:tabs>
          <w:tab w:val="right" w:pos="9360" w:leader="none"/>
        </w:tabs>
        <w:spacing w:lineRule="auto" w:line="240" w:before="0" w:after="0"/>
        <w:ind w:left="0" w:right="0" w:hanging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от </w:t>
      </w:r>
      <w:r>
        <w:rPr>
          <w:rFonts w:eastAsia="Times New Roman" w:cs="Arial" w:ascii="Arial" w:hAnsi="Arial"/>
          <w:sz w:val="24"/>
          <w:szCs w:val="24"/>
          <w:lang w:eastAsia="ru-RU"/>
        </w:rPr>
        <w:t>06.09.2017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№ </w:t>
      </w:r>
      <w:r>
        <w:rPr>
          <w:rFonts w:eastAsia="Times New Roman" w:cs="Arial" w:ascii="Arial" w:hAnsi="Arial"/>
          <w:sz w:val="24"/>
          <w:szCs w:val="24"/>
          <w:lang w:eastAsia="ru-RU"/>
        </w:rPr>
        <w:t>24-р</w:t>
      </w:r>
    </w:p>
    <w:p>
      <w:pPr>
        <w:pStyle w:val="Style19"/>
        <w:tabs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</w:rPr>
      </w:r>
    </w:p>
    <w:p>
      <w:pPr>
        <w:pStyle w:val="Style19"/>
        <w:tabs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</w:rPr>
      </w:r>
    </w:p>
    <w:p>
      <w:pPr>
        <w:pStyle w:val="ConsPlusTitle"/>
        <w:ind w:left="0" w:right="0" w:hanging="0"/>
        <w:jc w:val="center"/>
        <w:rPr>
          <w:rFonts w:ascii="Arial" w:hAnsi="Arial"/>
          <w:b/>
          <w:b/>
          <w:bCs/>
          <w:color w:val="111111"/>
          <w:sz w:val="24"/>
          <w:szCs w:val="24"/>
        </w:rPr>
      </w:pPr>
      <w:r>
        <w:rPr>
          <w:rFonts w:ascii="Arial" w:hAnsi="Arial"/>
          <w:b/>
          <w:bCs/>
          <w:color w:val="111111"/>
          <w:sz w:val="24"/>
          <w:szCs w:val="24"/>
        </w:rPr>
        <w:t>АДМИНИСТРАТИВНЫЙ РЕГЛАМЕНТ</w:t>
      </w:r>
    </w:p>
    <w:p>
      <w:pPr>
        <w:pStyle w:val="ConsPlusTitle"/>
        <w:ind w:left="0" w:right="0" w:hanging="0"/>
        <w:jc w:val="center"/>
        <w:rPr>
          <w:rFonts w:ascii="Arial" w:hAnsi="Arial"/>
          <w:b/>
          <w:b/>
          <w:bCs/>
          <w:color w:val="111111"/>
          <w:sz w:val="24"/>
          <w:szCs w:val="24"/>
        </w:rPr>
      </w:pPr>
      <w:r>
        <w:rPr>
          <w:rFonts w:ascii="Arial" w:hAnsi="Arial"/>
          <w:b/>
          <w:bCs/>
          <w:color w:val="111111"/>
          <w:sz w:val="24"/>
          <w:szCs w:val="24"/>
        </w:rPr>
        <w:t xml:space="preserve">ПРЕДОСТАВЛЕНИЯ </w:t>
      </w:r>
      <w:r>
        <w:rPr>
          <w:rFonts w:ascii="Arial" w:hAnsi="Arial"/>
          <w:b/>
          <w:bCs/>
          <w:strike w:val="false"/>
          <w:dstrike w:val="false"/>
          <w:color w:val="111111"/>
          <w:sz w:val="24"/>
          <w:szCs w:val="24"/>
        </w:rPr>
        <w:t>ДЕПАРТАМЕНТОМ СОЦИАЛЬНОГО РАЗВИТИЯ</w:t>
      </w:r>
    </w:p>
    <w:p>
      <w:pPr>
        <w:pStyle w:val="ConsPlusTitle"/>
        <w:ind w:left="0" w:right="0" w:hanging="0"/>
        <w:jc w:val="center"/>
        <w:rPr>
          <w:rFonts w:ascii="Arial" w:hAnsi="Arial"/>
          <w:b/>
          <w:b/>
          <w:bCs/>
          <w:color w:val="111111"/>
          <w:sz w:val="24"/>
          <w:szCs w:val="24"/>
        </w:rPr>
      </w:pPr>
      <w:r>
        <w:rPr>
          <w:rFonts w:ascii="Arial" w:hAnsi="Arial"/>
          <w:b/>
          <w:bCs/>
          <w:strike w:val="false"/>
          <w:dstrike w:val="false"/>
          <w:color w:val="111111"/>
          <w:sz w:val="24"/>
          <w:szCs w:val="24"/>
        </w:rPr>
        <w:t>ТЮМЕНСКОЙ ОБЛАСТИ</w:t>
      </w:r>
      <w:r>
        <w:rPr>
          <w:rFonts w:ascii="Arial" w:hAnsi="Arial"/>
          <w:b/>
          <w:bCs/>
          <w:color w:val="111111"/>
          <w:sz w:val="24"/>
          <w:szCs w:val="24"/>
        </w:rPr>
        <w:t xml:space="preserve"> ГОСУДАРСТВЕННОЙ УСЛУГИ </w:t>
      </w:r>
    </w:p>
    <w:p>
      <w:pPr>
        <w:pStyle w:val="ConsPlusTitle"/>
        <w:ind w:left="0" w:right="0" w:hanging="0"/>
        <w:jc w:val="center"/>
        <w:rPr>
          <w:rFonts w:ascii="Arial" w:hAnsi="Arial"/>
          <w:b/>
          <w:b/>
          <w:bCs/>
          <w:color w:val="111111"/>
          <w:sz w:val="24"/>
          <w:szCs w:val="24"/>
        </w:rPr>
      </w:pPr>
      <w:r>
        <w:rPr>
          <w:rFonts w:ascii="Arial" w:hAnsi="Arial"/>
          <w:b/>
          <w:bCs/>
          <w:color w:val="111111"/>
          <w:sz w:val="24"/>
          <w:szCs w:val="24"/>
        </w:rPr>
        <w:t xml:space="preserve">ПО </w:t>
      </w:r>
      <w:r>
        <w:rPr>
          <w:rFonts w:ascii="Arial" w:hAnsi="Arial"/>
          <w:b/>
          <w:bCs/>
          <w:color w:val="111111"/>
          <w:sz w:val="24"/>
          <w:szCs w:val="24"/>
        </w:rPr>
        <w:t>ВЫДАЧЕ НАПРАВЛЕНИЯ НА МЕДИКО-СОЦИАЛЬНУЮ ЭКСПЕРТИЗУ ОРГАНОВ СОЦИАЛЬНОЙ ЗАЩИТЫ НАСЕЛЕНИЯ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I. Общие положения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Предмет регулирования регламента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1. Административный регламент предоставления Департаментом социального развития Тюменской области государственной у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слуги по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выдаче направления на медико-социальную экспертизу органом социальной защиты населения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 (далее - Регламент) определяет стандарты, сроки и последовательность административных процедур (</w:t>
      </w:r>
      <w:r>
        <w:rPr>
          <w:b w:val="false"/>
          <w:bCs w:val="false"/>
          <w:color w:val="111111"/>
          <w:sz w:val="24"/>
          <w:szCs w:val="24"/>
        </w:rPr>
        <w:t>действий), требования к порядку их выполнения, в том числе особенности выполнения административных процедур (действий) в электронной форме, осуществляемых Департаментом социального развития Тюменской области при предоставлении государственной у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слуги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по выдаче направления на медико-социальную экспертизу органом социальной защиты населения.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Круг заявителей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2. Заявителями на получение государственной услуги (далее - заявители) являются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следующие категории граждан, проживающие в Тюменской области: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а) инвалиды, которым группа инвалидности установлена без указания срока переосвидетельствования, имевшие ранее рекомендации в индивидуальной программе реабилитации в разделе «Технические средства реабилитации и услуги по реабилитации (ТСР)» при необходимости разработки индивидуальной программы реабилитации или абилитации инвалида «бессрочно» с прежним объемом протезно-ортопедических изделий и технических средств реабилитации;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б) дети-инвалиды, которым инвалидность установлена до достижения возраста 18 лет, имевшие ранее рекомендации в индивидуальной программе реабилитации в разделе «Технические средства реабилитации и услуги по реабилитации (ТСР)» при необходимости разработки индивидуальной программы реабилитации или абилитации ребенка-инвалида до достижения возраста 18 лет с прежним объемом протезно-ортопедических изделий и технических средств реабилитации;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в) инвалиды, дети-инвалиды, имеющие индивидуальную программу реабилитации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или индивидуальную программу реабилитации и абилитации инвалида, ребенка-инвалида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, действующую на момент обращения, при необходимости внесения изменений и дополнений в раздел «Технические средства реабилитации и услуги по реабилитации (ТСР)», «Мероприятия социальной реабилитации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и абилитации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».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Заявители могут участвовать в от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ношениях по получению государственной услуги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при наличии у них медицинских документов (заключение врачей – специалистов, справка из медицинской организации и др.), подтверждающих нуждаемость в технических средствах реабилитации, протезно-ортопедических изделиях, реабилитационных мероприятиях. </w:t>
      </w:r>
    </w:p>
    <w:p>
      <w:pPr>
        <w:pStyle w:val="ConsPlusNormal"/>
        <w:ind w:left="0" w:right="0" w:firstLine="540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Заявители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могут участвовать в отношениях по получению государственной услуги через законного или уполномоченного представителя (далее – представитель). При этом личное участие заявителей настоящего пункта Регламента не лишает их права иметь представителя, равно как и участие представителя не лишает заявителей права на личное участие в правоотношениях по получению государственной услуги.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II. Стандарт предоставления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Наименование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3.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Выдача направления на медико-социальную экспертизу органом социальной защиты населения (далее – государственная услуга).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Наименование исполнительного органа государственной власти,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предоставляющего государственную услугу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4. Предоставление государственной услуги осуществляется Департаментом социального развития Тюменской области (далее - Департамент), территориальными управлениями социальной защиты населения, в том числе отделами социальной защиты населения (далее —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у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правление) согласно </w:t>
      </w:r>
      <w:hyperlink w:anchor="P476">
        <w:r>
          <w:rPr>
            <w:rStyle w:val="Style12"/>
            <w:rFonts w:eastAsia="Arial" w:cs="Courier New"/>
            <w:b w:val="false"/>
            <w:bCs w:val="false"/>
            <w:i w:val="false"/>
            <w:strike w:val="false"/>
            <w:dstrike w:val="false"/>
            <w:color w:val="111111"/>
            <w:sz w:val="24"/>
            <w:szCs w:val="24"/>
            <w:u w:val="none"/>
          </w:rPr>
          <w:t>Приложению N 1</w:t>
        </w:r>
      </w:hyperlink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 к Регламенту.</w:t>
      </w:r>
    </w:p>
    <w:p>
      <w:pPr>
        <w:pStyle w:val="ConsPlusNormal"/>
        <w:ind w:left="0" w:right="0" w:firstLine="540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Организациями, участвующими в предоставлении государственной услуги, являются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автономны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е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учреждени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я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социального обслуживания Тюменской области, муниципальны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е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автономны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е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учреждени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я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социального обслуживания населения (далее – учреждения).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Arial" w:hAnsi="Arial" w:eastAsia="Calibri" w:cs="Arial"/>
          <w:b w:val="false"/>
          <w:b w:val="false"/>
          <w:bCs w:val="false"/>
          <w:i w:val="false"/>
          <w:i w:val="false"/>
          <w:strike/>
          <w:color w:val="111111"/>
          <w:sz w:val="24"/>
          <w:szCs w:val="24"/>
          <w:u w:val="none"/>
          <w:lang w:eastAsia="en-US"/>
        </w:rPr>
      </w:pP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val="ru-RU" w:eastAsia="en-US"/>
        </w:rPr>
        <w:t xml:space="preserve">Организацией, 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>уполномоченн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val="ru-RU" w:eastAsia="en-US"/>
        </w:rPr>
        <w:t>ой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 xml:space="preserve"> на организацию предоставления государственн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>ой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 xml:space="preserve"> услуг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>и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en-US"/>
        </w:rPr>
        <w:t xml:space="preserve">, </w:t>
      </w:r>
      <w:r>
        <w:rPr>
          <w:rFonts w:eastAsia="Calibri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val="ru-RU" w:eastAsia="en-US"/>
        </w:rPr>
        <w:t>является многофункциональный центр предоставления государственных и муниципальных услуг (далее — МФЦ).</w:t>
      </w:r>
    </w:p>
    <w:p>
      <w:pPr>
        <w:pStyle w:val="ConsPlusNormal"/>
        <w:ind w:left="0" w:right="0" w:firstLine="540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Информация о местах нахождения, адресах электронной почты, телефонных номерах для справок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учреждений и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МФЦ содержится в приложении № 1 к Регламенту.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Заявление о предоставлении государственной услуги </w:t>
      </w:r>
      <w:r>
        <w:rPr>
          <w:b w:val="false"/>
          <w:bCs w:val="false"/>
          <w:color w:val="111111"/>
          <w:sz w:val="24"/>
          <w:szCs w:val="24"/>
        </w:rPr>
        <w:t xml:space="preserve">и необходимые документы подаются в </w:t>
      </w:r>
      <w:r>
        <w:rPr>
          <w:b w:val="false"/>
          <w:bCs w:val="false"/>
          <w:color w:val="111111"/>
          <w:sz w:val="24"/>
          <w:szCs w:val="24"/>
        </w:rPr>
        <w:t xml:space="preserve">учреждение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по месту жительства (пребывания) заявителя,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либо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через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МФЦ по месту жительства (пребывания) 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заявит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е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ля</w:t>
      </w: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Решение о предоставлении услуги принимается управлением.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Департамент осуществляет контроль за соблюдением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управлениями,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 учреждениями, МФЦ действующего законодательства при предоставлении государственной услуги, сроков предоставления государственной услуги.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strike/>
          <w:color w:val="111111"/>
          <w:sz w:val="24"/>
          <w:szCs w:val="24"/>
        </w:rPr>
      </w:pPr>
      <w:r>
        <w:rPr>
          <w:b w:val="false"/>
          <w:bCs w:val="false"/>
          <w:strike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Описание результата </w:t>
      </w:r>
      <w:r>
        <w:rPr>
          <w:b w:val="false"/>
          <w:bCs w:val="false"/>
          <w:color w:val="111111"/>
          <w:sz w:val="24"/>
          <w:szCs w:val="24"/>
        </w:rPr>
        <w:t>предоставления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5. </w:t>
      </w:r>
      <w:r>
        <w:rPr>
          <w:b w:val="false"/>
          <w:bCs w:val="false"/>
          <w:color w:val="111111"/>
          <w:sz w:val="24"/>
          <w:szCs w:val="24"/>
        </w:rPr>
        <w:t>Результатом предоставления государственной услуги является:</w:t>
      </w:r>
    </w:p>
    <w:p>
      <w:pPr>
        <w:pStyle w:val="ConsPlusNormal"/>
        <w:ind w:left="0" w:right="0" w:firstLine="540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а) выдача направления на медико-социальную экспертизу;</w:t>
      </w:r>
    </w:p>
    <w:p>
      <w:pPr>
        <w:pStyle w:val="ConsPlusNormal"/>
        <w:ind w:left="0" w:right="0" w:firstLine="540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б) выдача справки об отказе в выдаче направления на медико-социальную экспертизу.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Срок предоставления государственной услуги, </w:t>
      </w:r>
      <w:r>
        <w:rPr>
          <w:b w:val="false"/>
          <w:bCs w:val="false"/>
          <w:color w:val="111111"/>
          <w:sz w:val="24"/>
          <w:szCs w:val="24"/>
        </w:rPr>
        <w:t>в том числе с учетом необходимости обращения в организации, участвующие в предоставлении государственной услуги, срок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6. Срок предоставления государственной услуги составляет не более 10 рабочих дней со дня регистрации заявления.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/>
          <w:color w:val="111111"/>
          <w:sz w:val="24"/>
          <w:szCs w:val="24"/>
          <w:u w:val="none"/>
          <w:lang w:eastAsia="ru-RU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Перечень нормативных правовых актов, регулирующих отношения,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возникающие в связи с предоставлением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7.</w:t>
      </w: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rFonts w:cs="Arial"/>
          <w:b w:val="false"/>
          <w:bCs w:val="false"/>
          <w:color w:val="111111"/>
          <w:sz w:val="24"/>
          <w:szCs w:val="24"/>
        </w:rPr>
        <w:t>Предоставление государственной услуги осуществляется в соответствии с: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</w:rPr>
        <w:t xml:space="preserve">- </w:t>
      </w:r>
      <w:hyperlink r:id="rId3">
        <w:r>
          <w:rPr>
            <w:rStyle w:val="Style12"/>
            <w:rFonts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Конституцией</w:t>
        </w:r>
      </w:hyperlink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Российской Федерации, принятой всенародным голосованием 12.12.1993 ("Российская газета", 25.12.1993 N 237; 21.01.2009, N 7);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- Федеральным </w:t>
      </w:r>
      <w:hyperlink r:id="rId4">
        <w:r>
          <w:rPr>
            <w:rStyle w:val="Style12"/>
            <w:rFonts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законом</w:t>
        </w:r>
      </w:hyperlink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от 27.07.2010 N 210-ФЗ (ред. от 23.07.2013) "Об организации предоставления государственных и муниципальных услуг" ("Российская газета", N 168, 30.07.2010,"Собрание законодательства РФ", 02.08.2010, N 31, ст. 4179);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- Федеральным </w:t>
      </w:r>
      <w:hyperlink r:id="rId5">
        <w:r>
          <w:rPr>
            <w:rStyle w:val="Style12"/>
            <w:rFonts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законом</w:t>
        </w:r>
      </w:hyperlink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от 24.11.1995 N 181-ФЗ "О социальной защите инвалидов в Российской Федерации" (Собрание законодательства РФ, 27.11.1995, N 48, ст. 4563);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- </w:t>
      </w:r>
      <w:hyperlink r:id="rId6">
        <w:r>
          <w:rPr>
            <w:rStyle w:val="Style12"/>
            <w:rFonts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Постановлением</w:t>
        </w:r>
      </w:hyperlink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Правительства Российской Федерации от 20.02.2006 N 95 "О порядке и условиях признания лица инвалидом" (Собрание законодательства РФ, 27.02.2006, N 9, ст. 1018);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</w:rPr>
        <w:t xml:space="preserve">- Приказ Министерства труда и социальной защиты Российской федерации от 13.06.2017               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 </w:t>
      </w:r>
      <w:r>
        <w:rPr>
          <w:rFonts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</w:rPr>
        <w:t>(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Официальный интернет-портал правовой информации http://www.pravo.gov.ru, 01.08.2017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</w:rPr>
        <w:t>-</w:t>
      </w: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</w:t>
      </w:r>
      <w:hyperlink r:id="rId7">
        <w:r>
          <w:rPr>
            <w:rStyle w:val="Style12"/>
            <w:rFonts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Приказом</w:t>
        </w:r>
      </w:hyperlink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Министерства здравоохранения и социального развития Российской Федерации от 25.12.2006 N 874 "Об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населения" (Российская газета, N 14, 25.01.2007).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- </w:t>
      </w:r>
      <w:hyperlink r:id="rId8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Приказом</w:t>
        </w:r>
      </w:hyperlink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 Минздравсоцразвития России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 («Российская газета», № 17, 28.01.2011);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- </w:t>
      </w:r>
      <w:hyperlink r:id="rId9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Приказом</w:t>
        </w:r>
      </w:hyperlink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 Минтруда России от 13.04.2015 № 228н «Об утверждении формы акта медико-социальной экспертизы гражданина и Порядка его составления»</w:t>
      </w: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none"/>
        </w:rPr>
        <w:t xml:space="preserve"> («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>Российская газета", № 122, 08.06.2015);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- </w:t>
      </w:r>
      <w:hyperlink r:id="rId10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none"/>
          </w:rPr>
          <w:t>Приказом</w:t>
        </w:r>
      </w:hyperlink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u w:val="none"/>
          <w:lang w:eastAsia="ru-RU"/>
        </w:rPr>
        <w:t xml:space="preserve"> М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интруда России от 29.01.2014 № 59н «Об утверждении Административного регламента по предоставлению государственной услуги по проведению медико-социальной экспертизы» («Российская газета», № 151, 09.07.2014, «Российская газета», № 172, 01.08.2014);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Постановлением Правительства Тюменской области от 07.03.2012 № 68-п «О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МФЦ» («Тюменская область сегодня», № 150, 23.08.2013)</w:t>
      </w:r>
      <w:r>
        <w:rPr>
          <w:rFonts w:eastAsia="Times New Roman" w:cs="Arial" w:ascii="Arial" w:hAnsi="Arial"/>
          <w:b w:val="false"/>
          <w:bCs w:val="false"/>
          <w:strike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-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остановлением Правительства Тюменской области от 30.01.2012 №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(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"Тюменская область сегодня", N 21, 08.02.2012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ab/>
        <w:t>- Постановлением Правительства Тюменской области от 28.12.2010  № 385-п «Об утверждении положения о Департаменте социального развития Тюменской области».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ascii="Arial" w:hAnsi="Arial"/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Исчерпывающий перечень документов, необходимых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соответствии с нормативными правовыми актами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для предоставления государственной услуги и услуг,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которые являются необходимыми и обязательными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для предоставления государственной услуги, подлежащих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представлению заявителем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b w:val="false"/>
          <w:bCs w:val="false"/>
          <w:color w:val="111111"/>
          <w:sz w:val="24"/>
          <w:szCs w:val="24"/>
        </w:rPr>
        <w:t>8</w:t>
      </w:r>
      <w:r>
        <w:rPr>
          <w:b w:val="false"/>
          <w:bCs w:val="false"/>
          <w:color w:val="111111"/>
          <w:sz w:val="24"/>
          <w:szCs w:val="24"/>
        </w:rPr>
        <w:t xml:space="preserve">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Для получения государственной услуги заявителем в учреждение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по месту жительства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, МФЦ по месту жительства (пребывания) подается заявление о предоставлении государственной услуги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, форма которого предусмотрена в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риложении № 2 к Регламенту.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Форма заявления размещена на 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О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фициально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м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портал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е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органов государственной власти Тюменской области www.admtyumen.ru, в федеральной государственной информационной системе "Единый портал государственных и муниципальных услуг (функций)" www.gosuslugi.ru, на сайте "Государственные и муниципальные услуги в Тюменской области" www.uslugi.admtyumen.ru (далее – федеральный и региональный порталы)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.</w:t>
      </w:r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firstLine="53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Заявление на предоставление государственной услуги может быть подано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через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МФЦ. 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Заявителям обеспечивается возможность подачи заявления в форме электронного документа с использованием федерального или регионального портала.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государственной услуги на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федеральном и региональном порталах.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9. </w:t>
      </w:r>
      <w:r>
        <w:rPr>
          <w:b w:val="false"/>
          <w:bCs w:val="false"/>
          <w:color w:val="111111"/>
          <w:sz w:val="24"/>
          <w:szCs w:val="24"/>
        </w:rPr>
        <w:t>К заявлению в обязательном порядке прилагаются: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а) документ, удостоверяющий личность заявителя (в случае если за получением государственной услуги в интересах заявителя обращается его представитель, то представляются также документ, удостоверяющий личность представителя и документ, подтверждающий полномочия представителя).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б) медицинский документ (заключение врачей – специалистов, справка из медицинской организации </w:t>
      </w:r>
      <w:r>
        <w:rPr>
          <w:rFonts w:eastAsia="Times New Roman" w:cs="Arial"/>
          <w:b w:val="false"/>
          <w:bCs w:val="false"/>
          <w:strike/>
          <w:color w:val="111111"/>
          <w:sz w:val="24"/>
          <w:szCs w:val="24"/>
          <w:lang w:eastAsia="ru-RU"/>
        </w:rPr>
        <w:t>и др.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), подтверждающий нуждаемость в технических средствах реабилитации, протезно-ортопедических изделиях, реабилитационных мероприятиях</w:t>
      </w:r>
      <w:r>
        <w:rPr>
          <w:rFonts w:eastAsia="Times New Roman" w:cs="Arial"/>
          <w:b w:val="false"/>
          <w:bCs w:val="false"/>
          <w:strike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b w:val="false"/>
          <w:bCs w:val="false"/>
          <w:strike/>
          <w:color w:val="111111"/>
          <w:sz w:val="24"/>
          <w:szCs w:val="24"/>
          <w:lang w:eastAsia="ru-RU"/>
        </w:rPr>
        <w:t>и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ли мероприятиях по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абилитации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срок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ом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действия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не более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1 месяц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а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с даты выдачи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(в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заключени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и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врачей – специалистов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или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справк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е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из медицинской организации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должна отражаться следующая информация: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штамп лечебно-профилактического учреждения; дата выдачи, номер (№), подпись лечащего врача, подпись заведующего отделением или председателя врачебной комиссии; круглая печать медицинской организации, на оттиске которой идентифицируется полное наименование медицинской организации).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Документы, указанные в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настоящем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пункте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Регламента, могут быть представлены как в подлинниках</w:t>
      </w:r>
      <w:r>
        <w:rPr>
          <w:b w:val="false"/>
          <w:bCs w:val="false"/>
          <w:color w:val="111111"/>
          <w:sz w:val="24"/>
          <w:szCs w:val="24"/>
        </w:rPr>
        <w:t xml:space="preserve"> (в случае их утраты — в виде дубликатов),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так и в копиях. Копии документов представляются вместе с оригиналами для удостоверения их идентичности (о чем делается отметка должностным лицом, ответственным за прием и регистрацию заявлений и документов) либо заверенные нотариально.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В случае подачи заявления в форме электронного документа с использованием федерального или регионального портала документы, перечисленные в настоящем пункте Регламента, предоставляются заявителем при личном обращении в учреждение по месту жительства в течение 3 рабочих дней после получения уведомления о принятии заявления к рассмотрению в «Личном кабинете» федерального или регионального портала или на электронный адрес заявителя.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Исчерпывающий перечень документов, необходимых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соответствии с нормативными правовыми актами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для предоставления государственной услуги, которые находятся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распоряжении государственных органов, органов местного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самоуправления и иных организаций и которые заявитель вправе предоставить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strike/>
          <w:color w:val="111111"/>
          <w:sz w:val="24"/>
          <w:szCs w:val="24"/>
        </w:rPr>
      </w:pPr>
      <w:r>
        <w:rPr>
          <w:b w:val="false"/>
          <w:bCs w:val="false"/>
          <w:strike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1</w:t>
      </w:r>
      <w:r>
        <w:rPr>
          <w:b w:val="false"/>
          <w:bCs w:val="false"/>
          <w:color w:val="111111"/>
          <w:sz w:val="24"/>
          <w:szCs w:val="24"/>
        </w:rPr>
        <w:t>0</w:t>
      </w:r>
      <w:r>
        <w:rPr>
          <w:b w:val="false"/>
          <w:bCs w:val="false"/>
          <w:color w:val="111111"/>
          <w:sz w:val="24"/>
          <w:szCs w:val="24"/>
        </w:rPr>
        <w:t xml:space="preserve">. </w:t>
      </w: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en-US"/>
        </w:rPr>
        <w:t xml:space="preserve">Документы </w:t>
      </w: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en-US"/>
        </w:rPr>
        <w:t>(сведения)</w:t>
      </w: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en-US"/>
        </w:rPr>
        <w:t>, запрашиваемые учреждением в государственных органах, органах местного самоуправления и иных орг</w:t>
      </w: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en-US"/>
        </w:rPr>
        <w:t>анизациях</w:t>
      </w: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en-US"/>
        </w:rPr>
        <w:t>: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pacing w:val="-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pacing w:val="-1"/>
          <w:sz w:val="24"/>
          <w:szCs w:val="24"/>
          <w:lang w:eastAsia="ru-RU"/>
        </w:rPr>
        <w:t>а) копия справки об инвалидности;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color w:val="111111"/>
          <w:spacing w:val="-1"/>
          <w:sz w:val="24"/>
          <w:szCs w:val="24"/>
          <w:lang w:eastAsia="ru-RU"/>
        </w:rPr>
        <w:t xml:space="preserve">б) копия индивидуальной программы реабилитации либо копия индивидуальной программы реабилитации </w:t>
      </w:r>
      <w:r>
        <w:rPr>
          <w:rFonts w:eastAsia="Times New Roman" w:cs="Arial"/>
          <w:b w:val="false"/>
          <w:bCs w:val="false"/>
          <w:color w:val="111111"/>
          <w:spacing w:val="-1"/>
          <w:sz w:val="24"/>
          <w:szCs w:val="24"/>
          <w:lang w:eastAsia="ru-RU"/>
        </w:rPr>
        <w:t xml:space="preserve">или абилитации </w:t>
      </w:r>
      <w:r>
        <w:rPr>
          <w:rFonts w:eastAsia="Times New Roman" w:cs="Arial"/>
          <w:b w:val="false"/>
          <w:bCs w:val="false"/>
          <w:color w:val="111111"/>
          <w:spacing w:val="-1"/>
          <w:sz w:val="24"/>
          <w:szCs w:val="24"/>
          <w:lang w:eastAsia="ru-RU"/>
        </w:rPr>
        <w:t>инвалида, ребенка инвалида;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в) копии документов о праве на льготы (участник ликвидации последствий катастрофы на Чернобыльской АЭС; участник ликвидации последствий аварии а ПО «Маяк»; участник ликвидации последствий радиационных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ава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рий и катастроф на других объектах (кроме Чернобыльской АЭС и ПО «Маяк»); лицо, проживающее на радиационно загрязненной территории; ветеран подразделения особого риска; ветеран Великой Отечественной войны; ветеран боевых действий; участник контртеррористической операции на территории Чеченской Республики; бывший военнослужащий Российской (Советской) Армии и т.д.).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40"/>
        <w:jc w:val="both"/>
        <w:textAlignment w:val="auto"/>
        <w:rPr>
          <w:rFonts w:ascii="Arial" w:hAnsi="Arial" w:eastAsia="Arial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ar-SA"/>
        </w:rPr>
      </w:pP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ar-SA"/>
        </w:rPr>
        <w:t>Заявитель вправе представить документы, указанные в настоящем пункте, по собственной инициативе.</w:t>
      </w:r>
    </w:p>
    <w:p>
      <w:pPr>
        <w:pStyle w:val="ConsPlusNormal"/>
        <w:ind w:left="0" w:right="0" w:firstLine="540"/>
        <w:jc w:val="both"/>
        <w:rPr>
          <w:rFonts w:ascii="Arial" w:hAnsi="Arial" w:eastAsia="Calibri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rFonts w:eastAsia="Calibri" w:cs="Arial"/>
          <w:b w:val="false"/>
          <w:bCs w:val="false"/>
          <w:strike w:val="false"/>
          <w:dstrike w:val="false"/>
          <w:color w:val="111111"/>
          <w:sz w:val="24"/>
          <w:szCs w:val="24"/>
        </w:rPr>
        <w:t>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11. </w:t>
      </w:r>
      <w:r>
        <w:rPr>
          <w:b w:val="false"/>
          <w:bCs w:val="false"/>
          <w:color w:val="111111"/>
          <w:sz w:val="24"/>
          <w:szCs w:val="24"/>
        </w:rPr>
        <w:t xml:space="preserve">В соответствии с </w:t>
      </w:r>
      <w:r>
        <w:rPr>
          <w:b w:val="false"/>
          <w:bCs w:val="false"/>
          <w:color w:val="111111"/>
          <w:sz w:val="24"/>
          <w:szCs w:val="24"/>
        </w:rPr>
        <w:t xml:space="preserve">частью 4 </w:t>
      </w:r>
      <w:r>
        <w:rPr>
          <w:b w:val="false"/>
          <w:bCs w:val="false"/>
          <w:color w:val="111111"/>
          <w:sz w:val="24"/>
          <w:szCs w:val="24"/>
        </w:rPr>
        <w:t>статьи 7 Федерального закона от 27.07.2010 N 210-ФЗ "Об организации предоставления государственных и муниципальных услуг" в целях предоставления персональных данных заявителя, имеющихся в распоряжении органов или организаций, в орган, предоставляющий государственную услугу, на основании межведомственных запросов для предоставления государственной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27.07.2006 N 152-ФЗ "О персональных данных".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Исчерпывающий перечень оснований для отказа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приеме документов, необходимых для предоставления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1</w:t>
      </w:r>
      <w:r>
        <w:rPr>
          <w:b w:val="false"/>
          <w:bCs w:val="false"/>
          <w:color w:val="111111"/>
          <w:sz w:val="24"/>
          <w:szCs w:val="24"/>
        </w:rPr>
        <w:t>2</w:t>
      </w:r>
      <w:r>
        <w:rPr>
          <w:b w:val="false"/>
          <w:bCs w:val="false"/>
          <w:color w:val="111111"/>
          <w:sz w:val="24"/>
          <w:szCs w:val="24"/>
        </w:rPr>
        <w:t>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0"/>
        <w:jc w:val="center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Исчерпывающий перечень оснований для приостановления 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center"/>
        <w:outlineLvl w:val="2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или отказа в предоставлении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13. </w:t>
      </w:r>
      <w:r>
        <w:rPr>
          <w:b w:val="false"/>
          <w:bCs w:val="false"/>
          <w:color w:val="111111"/>
          <w:sz w:val="24"/>
          <w:szCs w:val="24"/>
        </w:rPr>
        <w:t>Основания для приостановления предоставления государственной услуги отсутствуют.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14. </w:t>
      </w:r>
      <w:r>
        <w:rPr>
          <w:b w:val="false"/>
          <w:bCs w:val="false"/>
          <w:color w:val="111111"/>
          <w:sz w:val="24"/>
          <w:szCs w:val="24"/>
        </w:rPr>
        <w:t>Основаниями для отказа в предоставлении государственной услуги является: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а) несоответствие категории гражданина, подавшего заявление, требованиям к заявителям, указанным в пункте 2 Регламента.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б) непредставление документов, указанных в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пункте 9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Регламента;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в) представление заявителем недостоверных сведений. Под недостоверными сведениями понимается наличие искажений и неточностей в содержании представленных документов.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Перечень услуг, которые являются необходимыми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 обязательными для предоставления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15. </w:t>
      </w:r>
      <w:r>
        <w:rPr>
          <w:b w:val="false"/>
          <w:bCs w:val="false"/>
          <w:color w:val="111111"/>
          <w:sz w:val="24"/>
          <w:szCs w:val="24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Способы, размер и основания взимания государственной пошлины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или иной платы, взимаемой за предоставление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16. </w:t>
      </w:r>
      <w:r>
        <w:rPr>
          <w:b w:val="false"/>
          <w:bCs w:val="false"/>
          <w:color w:val="111111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Способы, размер и основания взимания платы за предоставление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услуг, которые являются необходимыми и обязательными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для предоставления государственной услуги,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включая информацию о методике расчета такой платы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17. </w:t>
      </w:r>
      <w:r>
        <w:rPr>
          <w:b w:val="false"/>
          <w:bCs w:val="false"/>
          <w:color w:val="111111"/>
          <w:sz w:val="24"/>
          <w:szCs w:val="24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Максимальный срок ожидания в очереди при подаче запроса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о предоставлении государственной услуги, услуги,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предоставляемой организацией, участвующей в предоставлении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государственной услуги, и при получении результата предоставления таких услуг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18.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Срок ожидания в очереди при подаче заявления о предоставлении государственной услуги и документов, необходимых для предоставления государственной услуги, а также при получении результата предоставления государственной услуги на личном приеме не должен превышать 15 минут.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Срок регистрации запроса заявителя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о предоставлении государственной услуги и услуги,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предоставляемой организацией, участвующей в предоставлении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19.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Регистрация заявлений о предоставлении государственной услуги и документов, необходимых для предоставления государственной услуги, поданных лично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в учреждение, МФЦ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или поступивших посредством почтовой связи в учреждение, </w:t>
      </w:r>
      <w:r>
        <w:rPr>
          <w:rFonts w:eastAsia="Times New Roman" w:cs="Arial"/>
          <w:b w:val="false"/>
          <w:bCs w:val="false"/>
          <w:strike/>
          <w:color w:val="111111"/>
          <w:sz w:val="24"/>
          <w:szCs w:val="24"/>
          <w:lang w:eastAsia="ru-RU"/>
        </w:rPr>
        <w:t>МФЦ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 осуществляется в день их поступления.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Регистрация заявлений о предоставлении государственной услуги и документов,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поступивших в форме электронного документа с использованием федерального или регионального портала, осуществляется в течение 1 рабочего дня со дня их получения ведомством. В «Личный кабинет» заявителя на федерального или регионального портала и на электронный адрес заявителя, указанный в заявлении, направляется уведомление о регистрации заявления.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Днем поступления заявления при личном обращении в учреждения, МФЦ считается день подачи заявления с приложением документов, предусмотренных 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пунктом 9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Регламента.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Днем поступления заявления посредством почтовой связи считается день поступления в учреждение заявления с приложением документов, предусмотренных 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пунктом 9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либо 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пунктами 9,10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Регламента.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Arial" w:cs="Courier New"/>
          <w:b w:val="false"/>
          <w:b w:val="false"/>
          <w:bCs w:val="false"/>
          <w:i w:val="false"/>
          <w:i w:val="false"/>
          <w:strike w:val="false"/>
          <w:dstrike w:val="false"/>
          <w:color w:val="111111"/>
          <w:sz w:val="24"/>
          <w:szCs w:val="24"/>
          <w:u w:val="none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Днем поступления заявления в форме электронного документа с использованием  федеральн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ого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и региональн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ого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портал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а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считается день получения заявления должностным лицом учреждения и смены статуса заявления в «Личном кабинете» федерального или регионального портала с «Отправлено в ведомство» на «Принято ведомством». 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Требования к помещениям,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которых предоставляется государственная услуга, услуга, предоставляемая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информации о порядке предоставления таких услуг, </w:t>
      </w:r>
      <w:r>
        <w:rPr>
          <w:rFonts w:cs="Arial"/>
          <w:b w:val="false"/>
          <w:bCs w:val="false"/>
          <w:color w:val="111111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20.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Информация о графике (режиме) работы управлений, учреждений размещается при входе в здание, в котором оно осуществляет свою деятельность,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на видном месте.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21.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Прием документов в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управлениях,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учреждениях осуществляется в специально оборудованных помещениях или отведенных для этого кабинетах.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</w:t>
      </w:r>
      <w:r>
        <w:rPr>
          <w:b w:val="false"/>
          <w:bCs w:val="false"/>
          <w:color w:val="111111"/>
          <w:sz w:val="24"/>
          <w:szCs w:val="24"/>
        </w:rPr>
        <w:t>2.</w:t>
      </w: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Помещения для приема заявителей, оборудуются информационными стендами, которые устанавливаются в удобных для граждан местах и содержат следующие сведения: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1) Регламент с приложениями, форма заявления и образец его заполнения;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2) график приема заявителей и местонахождение Департамента, управления;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3) порядок получения консультаций по вопросам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4) порядок получения государственной услуги в Департаменте, управлении, учреждении;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5) основания для отказа в предоставлении услуги;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6) порядок информирования заявителей о ходе предоставления государственной услуги.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Визуальная и текстовая информация о порядке предоставления государственной услуги размещается на информационном стенде в помещении для ожидания и приема граждан, мультимедийная информация размещается на странице Департамента официального портала органов государственной власти Тюменской области www.admtyumen.ru.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2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3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. </w:t>
      </w:r>
      <w:r>
        <w:rPr>
          <w:b w:val="false"/>
          <w:bCs w:val="false"/>
          <w:color w:val="111111"/>
          <w:sz w:val="24"/>
          <w:szCs w:val="24"/>
        </w:rPr>
        <w:t>П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омещения для приема заявителей должны соответствовать комфортным для граждан условиям и оптимальным условиям работы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уполномоченных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лиц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управления,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учреждени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й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, сотрудников МФЦ, и должны обеспечивать: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- комфортное расположение заявителя и должностного лица,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управления, учреждения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возможность и удобство оформления заявителем письменного обращения;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телефонную связь;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возможность копирования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доступ к основным нормативным правовым актам, регламентирующим полномочия и сферу компетенции управления, учреждения;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доступ к нормативным правовым актам, регулирующим предоставление государственной услуги;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- наличие письменных принадлежностей и бумаги формата A4.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24.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а) возможность беспрепятственного входа в объекты и выхода из них;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</w:r>
      <w:r>
        <w:rPr>
          <w:rFonts w:cs="Arial"/>
          <w:b w:val="false"/>
          <w:bCs w:val="false"/>
          <w:color w:val="111111"/>
          <w:sz w:val="24"/>
          <w:szCs w:val="24"/>
        </w:rPr>
        <w:t>с учетом рекомендаций Всероссийского общества слепых;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Федерации. 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и) оборудование на прилегающих к объекту территориях мест для парковки автотранспортных средств инвалидов;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</w:t>
      </w:r>
      <w:r>
        <w:rPr>
          <w:b w:val="false"/>
          <w:bCs w:val="false"/>
          <w:color w:val="111111"/>
          <w:sz w:val="24"/>
          <w:szCs w:val="24"/>
        </w:rPr>
        <w:t>5</w:t>
      </w:r>
      <w:r>
        <w:rPr>
          <w:b w:val="false"/>
          <w:bCs w:val="false"/>
          <w:color w:val="111111"/>
          <w:sz w:val="24"/>
          <w:szCs w:val="24"/>
        </w:rPr>
        <w:t>. Обеспечивается создание следующих условий доступности государственной услуги: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д</w:t>
      </w:r>
      <w:r>
        <w:rPr>
          <w:b w:val="false"/>
          <w:bCs w:val="false"/>
          <w:color w:val="111111"/>
          <w:sz w:val="24"/>
          <w:szCs w:val="24"/>
        </w:rPr>
        <w:t xml:space="preserve">) другие условия доступности государственной услуги, предусмотренные нормативными и правовыми актами. 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</w:t>
      </w:r>
      <w:r>
        <w:rPr>
          <w:b w:val="false"/>
          <w:bCs w:val="false"/>
          <w:color w:val="111111"/>
          <w:sz w:val="24"/>
          <w:szCs w:val="24"/>
        </w:rPr>
        <w:t>6</w:t>
      </w:r>
      <w:r>
        <w:rPr>
          <w:b w:val="false"/>
          <w:bCs w:val="false"/>
          <w:color w:val="111111"/>
          <w:sz w:val="24"/>
          <w:szCs w:val="24"/>
        </w:rPr>
        <w:t>. Места ожидания предоставления государственной услуги оборудуются стульями, кресельными секциями или скамейками (банкетками).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27</w:t>
      </w:r>
      <w:r>
        <w:rPr>
          <w:b w:val="false"/>
          <w:bCs w:val="false"/>
          <w:color w:val="111111"/>
          <w:sz w:val="24"/>
          <w:szCs w:val="24"/>
        </w:rPr>
        <w:t xml:space="preserve">. Прием заявителей при предоставлении государственной услуги осуществляется согласно графику (режиму) работы </w:t>
      </w:r>
      <w:r>
        <w:rPr>
          <w:b w:val="false"/>
          <w:bCs w:val="false"/>
          <w:color w:val="111111"/>
          <w:sz w:val="24"/>
          <w:szCs w:val="24"/>
        </w:rPr>
        <w:t>учреждений</w:t>
      </w:r>
      <w:r>
        <w:rPr>
          <w:b w:val="false"/>
          <w:bCs w:val="false"/>
          <w:color w:val="111111"/>
          <w:sz w:val="24"/>
          <w:szCs w:val="24"/>
        </w:rPr>
        <w:t xml:space="preserve"> либо МФЦ (в рабочие дни), кроме выходных и праздничных дней, в течение рабочего времени.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28</w:t>
      </w:r>
      <w:r>
        <w:rPr>
          <w:b w:val="false"/>
          <w:bCs w:val="false"/>
          <w:color w:val="111111"/>
          <w:sz w:val="24"/>
          <w:szCs w:val="24"/>
        </w:rPr>
        <w:t xml:space="preserve">. Руководитель (заместитель руководителя, начальник отдела) </w:t>
      </w:r>
      <w:r>
        <w:rPr>
          <w:b w:val="false"/>
          <w:bCs w:val="false"/>
          <w:color w:val="111111"/>
          <w:sz w:val="24"/>
          <w:szCs w:val="24"/>
        </w:rPr>
        <w:t>учреждения</w:t>
      </w:r>
      <w:r>
        <w:rPr>
          <w:b w:val="false"/>
          <w:bCs w:val="false"/>
          <w:color w:val="111111"/>
          <w:sz w:val="24"/>
          <w:szCs w:val="24"/>
        </w:rPr>
        <w:t>,</w:t>
      </w: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b w:val="false"/>
          <w:bCs w:val="false"/>
          <w:color w:val="111111"/>
          <w:sz w:val="24"/>
          <w:szCs w:val="24"/>
        </w:rPr>
        <w:t>МФЦ, в случае необходимости (при большом количестве заявителей, ожидающих личного приема) принимает решение о продлении времени приема заявителей при их обращении лично.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29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. Рабочее место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сотрудника учреждения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, участвующего в предоставлении государственной услуги, должно быть оборудовано персональным компьютером с доступом к информационным ресурсам. Должностные лица, ответственные за предоставление государственной услуги и участвующие в предоставлении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Пока</w:t>
      </w:r>
      <w:r>
        <w:rPr>
          <w:b w:val="false"/>
          <w:bCs w:val="false"/>
          <w:strike w:val="false"/>
          <w:dstrike w:val="false"/>
          <w:color w:val="111111"/>
          <w:sz w:val="24"/>
          <w:szCs w:val="24"/>
        </w:rPr>
        <w:t>затели доступности и качества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b w:val="false"/>
          <w:bCs w:val="false"/>
          <w:strike w:val="false"/>
          <w:dstrike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30. </w:t>
      </w:r>
      <w:r>
        <w:rPr>
          <w:b w:val="false"/>
          <w:bCs w:val="false"/>
          <w:color w:val="111111"/>
          <w:sz w:val="24"/>
          <w:szCs w:val="24"/>
        </w:rPr>
        <w:t>Показателями доступности и качества оказания государственной услуги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- удовлетворенность заявителей качеством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оказания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наглядность форм размещаемой информации о порядке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отсутствие обоснованных жалоб со стороны заявителей по результатам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- возможность подачи заявления и документов в МФЦ;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предоставление возможности подачи заявления о предоставлении государственной услуги и документов, необходимых для предоставления государственной услуги, в форме электронного документа;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Количество взаимодействий заявителя с должностными лицами при предоставлении государственной услуги - не более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трех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взаимодействий, средней продолжительностью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45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минут.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Иные требования, в том числе учитывающие особенности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b w:val="false"/>
          <w:bCs w:val="false"/>
          <w:color w:val="111111"/>
          <w:sz w:val="24"/>
          <w:szCs w:val="24"/>
        </w:rPr>
        <w:t>предоставления государственной услуги в многофункциональных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центрах предоставления государственных услуг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 </w:t>
      </w:r>
      <w:r>
        <w:rPr>
          <w:b w:val="false"/>
          <w:bCs w:val="false"/>
          <w:color w:val="111111"/>
          <w:sz w:val="24"/>
          <w:szCs w:val="24"/>
        </w:rPr>
        <w:t>и особенности предоставления государственной услуги в электронной форме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31. </w:t>
      </w:r>
      <w:r>
        <w:rPr>
          <w:b w:val="false"/>
          <w:bCs w:val="false"/>
          <w:color w:val="111111"/>
          <w:sz w:val="24"/>
          <w:szCs w:val="24"/>
        </w:rPr>
        <w:t>Заявление может быть подано через МФЦ.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Порядок взаимодействия </w:t>
      </w:r>
      <w:r>
        <w:rPr>
          <w:b w:val="false"/>
          <w:bCs w:val="false"/>
          <w:color w:val="111111"/>
          <w:sz w:val="24"/>
          <w:szCs w:val="24"/>
        </w:rPr>
        <w:t xml:space="preserve">учреждений </w:t>
      </w:r>
      <w:r>
        <w:rPr>
          <w:b w:val="false"/>
          <w:bCs w:val="false"/>
          <w:color w:val="111111"/>
          <w:sz w:val="24"/>
          <w:szCs w:val="24"/>
        </w:rPr>
        <w:t>и МФЦ при предоставлении государственной услуги регулируется соглашением о взаимодействии, заключенным между Департаментом и МФЦ.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32.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Заявителям обеспечивается возможность подать заявление о предоставлении государственной услуги в форме электронного документа с использованием «Личного кабинета» федерального или регионального портала путем заполнения специальной интерактивной формы (с предоставлением возможности автоматической идентификации (нумерации) обращений; однозначной и конфиденциальной доставки промежуточных сообщений и ответа заявителю в электронном виде).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В случае подачи заявления в форме электронного документа с использованием федерального или регионального портала используется простая электронная подпись.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При направлении заявления с использованием федерального или регионального портала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- о регистрации заявления;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- о принятии заявления к рассмотрению (с указанием времени и места, в которые заявитель может представить документы, необходимые для предоставления государственной услуги и которые он должен предоставлять в обязательном порядке в соответствии с законодательством);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- о получении либо о непредставлении (несвоевременном представлении) сведений, находящихся в распоряжении органов государственной власти и органов местного самоуправления и организаций;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- о результате предоставления государственной услуги, в том числе о времени и месте его получения.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Обеспечивается возможность осуществления заявителем мониторинга хода предоставления государственной услуги путем смены статусов, получения уведомлений в «Личном кабинете» федерального или регионального портала и на электронный адрес заявителя.  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После отправки с федерального или регионального порталов заявление получает статус «Отправлено в ведомство». Если в процессе отправки возникли технические проблемы, заявление получает статус «Ошибка отправки в ведомство». В этом случае отправку необходимо повторить. 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После того, как заявление получено ведомством, и должностное лицо, назначенное исполнителем по обращению, приступило к его обработке, заявление получает статусы «Принято ведомством» или «В обработке».</w:t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После ознакомления с содержанием обращения за услугой, должностное лицо формирует межведомственные запросы для получения документов и информации, необходимых для принятия решения. На этом этапе работы заявление получает статусы: «Промежуточные результаты от ведомства» либо «На рассмотрении». 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III. Состав, последовательность и сроки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</w:t>
      </w:r>
      <w:r>
        <w:rPr>
          <w:b w:val="false"/>
          <w:bCs w:val="false"/>
          <w:color w:val="111111"/>
          <w:sz w:val="24"/>
          <w:szCs w:val="24"/>
        </w:rPr>
        <w:t>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</w:t>
      </w:r>
      <w:r>
        <w:rPr>
          <w:b w:val="false"/>
          <w:bCs w:val="false"/>
          <w:strike w:val="false"/>
          <w:dstrike w:val="false"/>
          <w:color w:val="111111"/>
          <w:sz w:val="24"/>
          <w:szCs w:val="24"/>
        </w:rPr>
        <w:t>е,</w:t>
      </w:r>
      <w:r>
        <w:rPr>
          <w:b w:val="false"/>
          <w:bCs w:val="false"/>
          <w:strike w:val="false"/>
          <w:dstrike w:val="false"/>
          <w:color w:val="111111"/>
          <w:sz w:val="24"/>
          <w:szCs w:val="24"/>
        </w:rPr>
        <w:t xml:space="preserve"> </w:t>
      </w:r>
      <w:r>
        <w:rPr>
          <w:rFonts w:eastAsia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а также особенности выполнения административных процедур </w:t>
      </w:r>
      <w:r>
        <w:rPr>
          <w:rFonts w:eastAsia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в многофункциональных центрах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Состав административных процедур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по предоставлению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33. </w:t>
      </w:r>
      <w:r>
        <w:rPr>
          <w:b w:val="false"/>
          <w:bCs w:val="false"/>
          <w:color w:val="111111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а)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прием и регистрацию документов на предоставление государственной услуги и прилагаемых </w:t>
      </w:r>
      <w:r>
        <w:rPr>
          <w:rFonts w:eastAsia="Times New Roman" w:cs="Arial" w:ascii="Arial" w:hAnsi="Arial"/>
          <w:b w:val="false"/>
          <w:bCs w:val="false"/>
          <w:strike/>
          <w:color w:val="111111"/>
          <w:sz w:val="24"/>
          <w:szCs w:val="24"/>
          <w:lang w:eastAsia="ru-RU"/>
        </w:rPr>
        <w:t>заявителем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к нему документов;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б)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рассмотрение заявления и представленных документов для установления права заявителя на получение государственной услуги и принятие решения о предоставлении государственной услуги или об отказе в предоставлении государственной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в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)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уведомление заявителя о предоставлении услуги или об отказе в предоставлении государственной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г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)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предоставление государственной услуги путем выдачи документов и (или) осуществление действий, предусмотренных пунктом 5 Регламента.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34.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Блок-схема последовательности действий при предоставлении государственной услуги приведена в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Приложении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№ 3 к Регламенту.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Последовательность выполнения административных процедур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при предоставлении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Прием и регистрация заявления о предоставлении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государственной услуги и прилагаемых к нему документов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35.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учреждение, МФЦ заявления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о предоставлении государственной услуги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и документов, указанных в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или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пунктах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 и 10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Р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егламента.</w:t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36. </w:t>
      </w:r>
      <w:r>
        <w:rPr>
          <w:b w:val="false"/>
          <w:bCs w:val="false"/>
          <w:color w:val="111111"/>
          <w:sz w:val="24"/>
          <w:szCs w:val="24"/>
        </w:rPr>
        <w:t>Заявление и документы, необходимые для предоставления государственной услуги, могут быть представлены заявителем:</w:t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а) лично;</w:t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б) по почте (за </w:t>
      </w:r>
      <w:r>
        <w:rPr>
          <w:b w:val="false"/>
          <w:bCs w:val="false"/>
          <w:color w:val="111111"/>
          <w:sz w:val="24"/>
          <w:szCs w:val="24"/>
        </w:rPr>
        <w:t>исключением</w:t>
      </w:r>
      <w:r>
        <w:rPr>
          <w:b w:val="false"/>
          <w:bCs w:val="false"/>
          <w:color w:val="111111"/>
          <w:sz w:val="24"/>
          <w:szCs w:val="24"/>
        </w:rPr>
        <w:t xml:space="preserve"> МФЦ);</w:t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в) в форме электронного документа с использованием федерального или регионального портала.</w:t>
      </w:r>
    </w:p>
    <w:p>
      <w:pPr>
        <w:pStyle w:val="ConsPlusNormal"/>
        <w:widowControl/>
        <w:bidi w:val="0"/>
        <w:ind w:left="0" w:right="0" w:firstLine="68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37.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В ходе личного приема должностное лицо,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ответственное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за прием и регистрацию заявления и документов, обязано: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осуществить прием заявления и документов, представленных заявителем;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- проверить полноту и правильность заполнения </w:t>
      </w:r>
      <w:hyperlink r:id="rId11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lang w:eastAsia="ru-RU"/>
          </w:rPr>
          <w:t>заявления</w:t>
        </w:r>
      </w:hyperlink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и наличие документов, необходимых для предоставления государственной услуги, согласно перечню, указанному в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пункте 9 или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пунктах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, 1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0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а;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обеспечить регистрацию поступивших заявления и документов;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в случае необходимости давать разъяснения заявителю по предоставляемой государственной услуге;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выдать расписку о приеме заявления и прилагаемых к нему документов.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Общее время приема – 15 минут.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38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.</w:t>
      </w:r>
      <w:r>
        <w:rPr>
          <w:rFonts w:ascii="Arial" w:hAnsi="Arial"/>
          <w:b w:val="false"/>
          <w:bCs w:val="false"/>
          <w:color w:val="111111"/>
          <w:sz w:val="24"/>
          <w:szCs w:val="24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В случае поступления посредством почтовой связи заявления и заверенных нотариально копий документов, необходимых для предоставления государственной услуги в обязательном порядке, должностное лицо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учреждения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, ответственное за прием и регистрацию документов, регистрирует его в сроки, указанные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19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Ре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гламента и в течение одного рабочего дня со дня его регистрации уведомляет заявителя в письменной форме или путем направления электронного сообщения на электронный адрес, указанный в заявлении о регистрации его заявления и поступивших документов.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39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В случае поступления посредством почтовой связи заявления и не заверенных нотариально копий документов, необходимых для предоставления государственной услуги в обязательном порядке, должностное лицо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учреждения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, ответственное за прием и регистрацию документов, регистрирует его в сроки, указанные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19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Регламента, и в течение одного рабочего дня со дня регистрации уведомляет заявителя в письменной форме или путем направления электронного сообщения на электронный адрес, указанный в заявлении о том, что поступившие документы рассматриваются при представлении заявителем подлинников документов, указанных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пункт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е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Регламента, одновременно заявителю сообщается о регистрации его заявления и поступивших документов, а также дате, времени и месте личного приема заявителя.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40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При поступлении заявления в форме электронного документа с использованием федерального или регионального портала должностное лицо ответственное за прием и регистрацию заявлений и документов в сроки, указанные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19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 регистрирует заявление в соответствующем журнале регистрации и в течение одного рабочего дня со дня регистрации направляет заявителю уведомление о приеме заявления в «Личный кабинет» федерального или регионального портала и на электронный адрес.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41.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Уведомление о приеме заявления к рассмотрению должно содержать информацию: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 дате регистрации и регистрационном номере заявления;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- о необходимости предоставления документов, указанных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пункт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е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 дате, времени и месте личного приема;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 должностном лице, ответственном за прием и регистрацию заявления и документов (ф.и.о., должность, контактный телефон);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о сроках рассмотрения заявления;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- предупреждение об отказе в предоставлении государственной услуги в случае не предоставления документов, указанных в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пункт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е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9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Регламента.</w:t>
      </w:r>
    </w:p>
    <w:p>
      <w:pPr>
        <w:pStyle w:val="ConsPlusNormal"/>
        <w:widowControl/>
        <w:overflowPunct w:val="false"/>
        <w:bidi w:val="0"/>
        <w:spacing w:lineRule="auto" w:line="240" w:before="0" w:after="0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Личный прием гражданина для предоставления документов, указанных в пункте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Регламента, назначается в срок не позднее 3 рабочих дней со дня направления уведомления.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4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>2</w:t>
      </w:r>
      <w:r>
        <w:rPr>
          <w:rFonts w:eastAsia="Arial" w:cs="Courier New" w:ascii="Arial" w:hAnsi="Arial"/>
          <w:b w:val="false"/>
          <w:bCs w:val="false"/>
          <w:i w:val="false"/>
          <w:strike w:val="false"/>
          <w:dstrike w:val="false"/>
          <w:color w:val="111111"/>
          <w:sz w:val="24"/>
          <w:szCs w:val="24"/>
          <w:u w:val="none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Заявление, поданное в форме электронного документа с использованием федерального или регионального портала, принятое к рассмотрению, распечатывается в одном экземпляре должностным лицом, ответственным за прием и регистрацию заявлений и документов.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В данном заявлении должностное лицо, ответственное за прием и регистрацию заявлений и документов заполняет реквизиты "Заявление гражданина и прилагаемые к нему документы приняты                 "___" ____________ 20___ года и зарегистрированы под № _______" и "Подпись, фамилия должностного лица, принявшего заявление".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В поле, предназначенном для подписи заявителя, производится запись "Заявление принято в форме электронного документа".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Рассмотрение заявления и представленных документов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для установления права заявителя на получение государственной услуги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и принятие решения о предоставлении государственной услуги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или об отказе в предоставлении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3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Основанием для начала административной процедуры является регистрация заявления, поданного с приложением документов, указанных в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пункте 9 Регламента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или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пунктах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, 1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0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Регламента.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4</w:t>
      </w:r>
      <w:r>
        <w:rPr>
          <w:rFonts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4</w:t>
      </w:r>
      <w:r>
        <w:rPr>
          <w:rFonts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 xml:space="preserve">.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 xml:space="preserve">В случае непредоставления документов, указанных в пункте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>1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>0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 xml:space="preserve"> Регламента должностное лицо</w:t>
      </w: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 xml:space="preserve"> учреждения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 xml:space="preserve">, ответственное за прием и регистрацию заявлений и документов, в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 xml:space="preserve">течение 1 рабочего дня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>со дня регистрации заявления о предоставлении государственной услуги направляет, в том числе посредством СМЭВ Тюменской области,  запросы о предоставлении сведений в следующие органы: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</w:rPr>
        <w:t xml:space="preserve">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ru-RU"/>
        </w:rPr>
        <w:t>выписку из сведений об инвалиде, хранящихся в федеральной государственной информационной системе «Федеральный реестр инвалидов», в Пенсионном фонде Российской Федерации, а  в случае отсутствия технической возможности, сведения об инвалидности с указанием группы инвалидности, сведения из индивидуальной программы реабилитации или абилитации инвалида, индивидуальной программы реабилитации или абилитации ребенка-инвалида в ФКУ «Главное бюро медико-социальной экспертизы по Тюменской области».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ru-RU"/>
        </w:rPr>
        <w:t>5</w:t>
      </w: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. Межведомственные запросы в форме электронного документа подписываются усиленной квалифицированной электронной подписью.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В случае отсутствия технической возможности отправки межведомственных запросов в электронном виде, межведомственные запросы  направляются на бумажном носителе.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>46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 xml:space="preserve">. </w:t>
      </w: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Документ, полученный в качестве ответа на межведомственный запрос посредством СМЭВ Тюменской области и необходимый для предоставления государственной услуги (далее - электронный документ), подлежит включению в дело.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>Для включения соответствующего электронного документа в дело должностное лицо управления, учреждения, изготавливает копию электронного документа на бумажном носителе, указывает на бумажном документе присвоенные в СМЭВ Тюменской области дату и номер электронного документа, на основании которого изготовлен соответствующий бумажный документ, фамилию и должность лица, подписавшего соответствующий электронный документ электронной подписью (при условии, что данные о фамилии и должности указанного лица присутствуют в ответе на межведомственный запрос), свою должность, фамилию и ставит на бумажном документе личную подпись.</w:t>
      </w:r>
    </w:p>
    <w:p>
      <w:pPr>
        <w:pStyle w:val="Normal"/>
        <w:spacing w:lineRule="auto" w:line="240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  <w:lang w:eastAsia="en-US"/>
        </w:rPr>
        <w:t>47</w:t>
      </w:r>
      <w:r>
        <w:rPr>
          <w:rFonts w:cs="Arial" w:ascii="Arial" w:hAnsi="Arial"/>
          <w:b w:val="false"/>
          <w:bCs w:val="false"/>
          <w:i w:val="false"/>
          <w:iCs w:val="false"/>
          <w:color w:val="111111"/>
          <w:sz w:val="24"/>
          <w:szCs w:val="24"/>
        </w:rPr>
        <w:t xml:space="preserve">. </w:t>
      </w: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en-US"/>
        </w:rPr>
        <w:t xml:space="preserve">В случае самостоятельного представления заявителем документов, указанных в пункте </w:t>
      </w: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en-US"/>
        </w:rPr>
        <w:t>1</w:t>
      </w: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en-US"/>
        </w:rPr>
        <w:t>0</w:t>
      </w: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z w:val="24"/>
          <w:szCs w:val="24"/>
          <w:lang w:eastAsia="en-US"/>
        </w:rPr>
        <w:t xml:space="preserve"> Регламента, а также в случае наличия сведений о данных документах в информационной базе данных органов социальной защиты населения Тюменской области, сведения о них в рамках межведомственного взаимодействия не запрашиваются.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8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Должностное лицо, ответственное за установление права заявителя на получение государственной услуги, в течение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1 рабочего дня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со дня поступления полного комплекта документов (содержащихся в них сведений), необходимых для предоставления государственной услуги, осуществляет проверку представленных заявителем документов (содержащихся в них сведений) на предмет их соответствия действующему законодательству.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Должностное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лицо, ответственное за установление права заявителя на получение государственной услуги, в срок, указанный в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48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Регламента готовит проект решения о предоставлении государственной услуги или об отказе в предоставлении государственной услуги (в форме электронного документа и на бумажном носителе), и направляет его в управление.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50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Должностное лицо управления, ответственное за рассмотрение документов, в течение 1 рабочего дня со дня поступления проекта решения о предоставлении государственной услуги или об отказе в предоставлении государственной услуги (в форме электронного документа и на бумажном носителе) передает его руководителю (начальнику отдела) управления для принятия.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51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Руководитель (начальник отдела) управления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в день поступления проекта решения о предоставлении государственной услуги или об отказе в предоставлении государственной услуги от должностного лица управления, ответственного за рассмотрение документов,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принимает решение:  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а) о предоставлении государственной услуги путем выдачи направления на медико-социальную экспертизу;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б) об отказе в предоставлении государственной услуги путем выдачи справки об отказе в выдаче направления на медико-социальную экспертизу с указанием одного из оснований, перечисленных в пункте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1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4 Регламента.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52.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Критериями принятия решения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о предоставлении государственной услуги является отсутствие оснований для отказа в предоставлении государственной услуги, предусмотренных в пункте 14 Регламента.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Критериями принятия решения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об отказе в предоставлении государственной услуги является наличие хотя бы одного из оснований для отказа в предоставлении государственной услуги, предусмотренных в пункте 14 Регламента.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53.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Направление на медико-социальную экспертизу либо справка об отказе в выдаче данного направления на бумажном носителе подписывается руководителем управления и заверяется печатью, в форме электронного документа – подписывается усиленной квалифицированной электронной подписью.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54. 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Общий срок выполнения административно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й процедуры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, указанно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й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в настоящем разделе –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8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рабочих дн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ей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со дня регистрации заявления.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ascii="Arial" w:hAnsi="Arial"/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3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Уведомление заявителя о предоставлении государственной услуги или об отказе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в предоставлении государственной услуги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5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5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Основанием для начала административной процедуры является принятие руководителем (начальником отдела) управления решения о предоставлении государственной услуги или об отказе в предоставлении государственной услуги.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5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Times New Roman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Должностное лицо учреждения уведомляет заявителя о принятом решении, а также о возможности получения направления на медико-социальную экспертизу или справки об отказе в выдаче направления на медико-социальную экспертизу в течение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1 рабочего дня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со дня принятия соответствующего решения.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В справке об отказе в выдаче направления на медико-социальную экспертизу указываются причины отказа.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Заявитель, подавший заявление в электронной форме, информируется о принятом решении через «Личный кабинет» федерального или регионального портала и (или) путем смены статуса заявления и отправки сообщения на электронный адрес, в случае указания его при подаче заявления, в течение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1 рабочего дня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со дня принятия соответствующего решения. При принятии решения об оказании услуги, заявлению в «Личном кабинете» федерального или регионального порталов присваивается статус «Исполнено» или «Утверждено». Если принято решение об отказе в предоставлении услуги, заявление получает статусы: «Отказ» или «Отклонено».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Общий срок выполнения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административной процедуры, указанной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в настоящем разделе –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1 рабочий день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со дня принятия решения о предоставлении государственной услуги или об отказе в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Предоставление государственной услуги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путем выдачи документов и (или) осуществление действий,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3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предусмотренных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пунктом 5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Регламента 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5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7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Основанием для начала административной процедуры является принятие руководителем (начальником отдела) управления решения о предоставлении государственной услуги или об отказе в предоставлении государственной услуги.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58.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  Экземпляр на бумажном носителе в течение 1 рабочего дня со дня принятия решения направляется в учреждение, МФЦ для выдачи гражданину.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Должностное лицо учреждения, сотрудник МФЦ выдает направление на медико-социальную экспертизу или справку об отказе в выдаче направления на медико-социальную экспертизу на личном приеме.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Форма направления на медико-социальную экспертизу приведена в приложении № 4 к Регламенту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Направление на медико-социальную экспертизу, выданное заявителю, действительно в течение шести месяцев со дня его выдачи.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Форма справки об отказе в выдаче направления на медико-социальную экспертизу приведена в приложении № 5 к Регламенту.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Время выполнения действия – 15 минут на один документ.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В случае неявки гражданина в учреждение, МФЦ направление на медико-социальную экспертизу или справка об отказе в выдаче направления на медико-социальную экспертизу по истечение 2 месяцев со дня их оформления направляются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учреждением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по почте на адрес, указанный в заявлении.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59.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Направление на медико-социальную экспертизу либо справка об отказе в выдаче данного направления в течение 3 рабочих дней со дня их выдачи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 xml:space="preserve">также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  <w:t>направляются управлением в бюро медико-социальной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u w:val="none"/>
          <w:lang w:eastAsia="ru-RU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IV. </w:t>
      </w:r>
      <w:r>
        <w:rPr>
          <w:rFonts w:eastAsia="Times New Roman" w:cs="Arial"/>
          <w:b w:val="false"/>
          <w:bCs w:val="false"/>
          <w:color w:val="111111"/>
          <w:sz w:val="24"/>
          <w:szCs w:val="24"/>
          <w:lang w:eastAsia="ru-RU"/>
        </w:rPr>
        <w:t>Формы контроля за исполнением Регламента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60</w:t>
      </w:r>
      <w:r>
        <w:rPr>
          <w:b w:val="false"/>
          <w:bCs w:val="false"/>
          <w:color w:val="111111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Департамента, управления, </w:t>
      </w:r>
      <w:r>
        <w:rPr>
          <w:b w:val="false"/>
          <w:bCs w:val="false"/>
          <w:color w:val="111111"/>
          <w:sz w:val="24"/>
          <w:szCs w:val="24"/>
        </w:rPr>
        <w:t>учреждения</w:t>
      </w:r>
      <w:r>
        <w:rPr>
          <w:b w:val="false"/>
          <w:bCs w:val="false"/>
          <w:color w:val="111111"/>
          <w:sz w:val="24"/>
          <w:szCs w:val="24"/>
        </w:rPr>
        <w:t xml:space="preserve"> ответственными за предоставление государственной услуги, сотрудниками МФЦ, участвующими в предоставлении государственной услуги.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61</w:t>
      </w:r>
      <w:r>
        <w:rPr>
          <w:b w:val="false"/>
          <w:bCs w:val="false"/>
          <w:color w:val="111111"/>
          <w:sz w:val="24"/>
          <w:szCs w:val="24"/>
        </w:rPr>
        <w:t xml:space="preserve">. Контроль за соблюдением и исполнением положений Регламента должностными лицами Департамента, управления, </w:t>
      </w:r>
      <w:r>
        <w:rPr>
          <w:b w:val="false"/>
          <w:bCs w:val="false"/>
          <w:color w:val="111111"/>
          <w:sz w:val="24"/>
          <w:szCs w:val="24"/>
        </w:rPr>
        <w:t>учреждения</w:t>
      </w:r>
      <w:r>
        <w:rPr>
          <w:b w:val="false"/>
          <w:bCs w:val="false"/>
          <w:color w:val="111111"/>
          <w:sz w:val="24"/>
          <w:szCs w:val="24"/>
        </w:rPr>
        <w:t xml:space="preserve"> ответственными за предоставление государственной услуги, сотрудниками МФЦ, осуществляется постоянно директором Департамента, </w:t>
      </w:r>
      <w:r>
        <w:rPr>
          <w:b w:val="false"/>
          <w:bCs w:val="false"/>
          <w:color w:val="111111"/>
          <w:sz w:val="24"/>
          <w:szCs w:val="24"/>
        </w:rPr>
        <w:t>руководителем</w:t>
      </w:r>
      <w:r>
        <w:rPr>
          <w:b w:val="false"/>
          <w:bCs w:val="false"/>
          <w:color w:val="111111"/>
          <w:sz w:val="24"/>
          <w:szCs w:val="24"/>
        </w:rPr>
        <w:t xml:space="preserve"> управления, </w:t>
      </w:r>
      <w:r>
        <w:rPr>
          <w:b w:val="false"/>
          <w:bCs w:val="false"/>
          <w:color w:val="111111"/>
          <w:sz w:val="24"/>
          <w:szCs w:val="24"/>
        </w:rPr>
        <w:t xml:space="preserve">учреждения, </w:t>
      </w:r>
      <w:r>
        <w:rPr>
          <w:b w:val="false"/>
          <w:bCs w:val="false"/>
          <w:color w:val="111111"/>
          <w:sz w:val="24"/>
          <w:szCs w:val="24"/>
        </w:rPr>
        <w:t>МФЦ.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62</w:t>
      </w:r>
      <w:r>
        <w:rPr>
          <w:b w:val="false"/>
          <w:bCs w:val="false"/>
          <w:color w:val="111111"/>
          <w:sz w:val="24"/>
          <w:szCs w:val="24"/>
        </w:rPr>
        <w:t>. В целях осуществления контроля за полнотой и качеством предоставления государственной услуги Департаментом проводятся плановые и внеплановые проверки.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Плановые проверки полноты и качества предоставления государственной услуги осуществляются Департаментом один раз в три года (на основании полугодовых или годовых планов работы), </w:t>
      </w:r>
      <w:r>
        <w:rPr>
          <w:b w:val="false"/>
          <w:bCs w:val="false"/>
          <w:color w:val="111111"/>
          <w:sz w:val="24"/>
          <w:szCs w:val="24"/>
        </w:rPr>
        <w:t xml:space="preserve">также проводятся </w:t>
      </w:r>
      <w:r>
        <w:rPr>
          <w:b w:val="false"/>
          <w:bCs w:val="false"/>
          <w:color w:val="111111"/>
          <w:sz w:val="24"/>
          <w:szCs w:val="24"/>
        </w:rPr>
        <w:t xml:space="preserve">внеплановые проверки, </w:t>
      </w:r>
      <w:r>
        <w:rPr>
          <w:b w:val="false"/>
          <w:bCs w:val="false"/>
          <w:color w:val="111111"/>
          <w:sz w:val="24"/>
          <w:szCs w:val="24"/>
        </w:rPr>
        <w:t xml:space="preserve">в том числе  </w:t>
      </w:r>
      <w:r>
        <w:rPr>
          <w:b w:val="false"/>
          <w:bCs w:val="false"/>
          <w:color w:val="111111"/>
          <w:sz w:val="24"/>
          <w:szCs w:val="24"/>
        </w:rPr>
        <w:t>по конкретному обращению заявителя.</w:t>
      </w:r>
    </w:p>
    <w:p>
      <w:pPr>
        <w:pStyle w:val="ConsPlusNormal"/>
        <w:ind w:left="0" w:right="0" w:firstLine="540"/>
        <w:jc w:val="both"/>
        <w:rPr>
          <w:rFonts w:ascii="Arial" w:hAnsi="Arial"/>
          <w:b w:val="false"/>
          <w:b w:val="false"/>
          <w:bCs w:val="false"/>
          <w:strike/>
          <w:color w:val="111111"/>
          <w:sz w:val="24"/>
          <w:szCs w:val="24"/>
        </w:rPr>
      </w:pPr>
      <w:r>
        <w:rPr>
          <w:b w:val="false"/>
          <w:bCs w:val="false"/>
          <w:strike/>
          <w:color w:val="11111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V. Досудебный (внесудебный) порядок обжалования решений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 xml:space="preserve">и действий (бездействия) исполнительных органов государственной власти, </w:t>
      </w:r>
    </w:p>
    <w:p>
      <w:pPr>
        <w:pStyle w:val="ConsPlus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  <w:t>а также их должностных лиц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b w:val="false"/>
          <w:bCs w:val="false"/>
          <w:color w:val="111111"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3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Заявители вправе обжаловать решения, принятые в ходе предоставления государственной услуги (на любом этапе), действия (бездействие) Департамента, управления, учреждения, их должностных лиц в досудебном (внесудебном) порядке.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2) нарушение срока предоставления государственной услуги;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 для предоставления государственной услуги;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 для предоставления государственной услуги, у заявителя;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Заявители имеют право обратиться с жалобой лично, направить жалобу в письменной форме или в форме электронного документа: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в Департамент на решение управления, учреждения, действие, (бездействие) должностного лица управления,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ответственного за предоставление государственной услуги,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учреждения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, участвующего в предоставлении государственной услуги;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руководителю управления на действие, (бездействие) должностного лица управления, ответственного за предоставление государственной услуги, должностного лица учреждения, участвующего в предоставлении государственной услуги.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65.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Жалоба регистрируется не позднее следующего рабочего дня со дня ее поступления и передается в день регистрации на рассмотрение директору Департамента, руководителю управления или уполномоченному им должностному лицу.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Основания для приостановления рассмотрения жалобы отсутствует.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left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Жалоба может быть подана заявителем, в том числе через МФЦ.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При поступлении в МФЦ жалобы на нарушение Департаментом, территориальными управлениями порядка предоставления государственной услуги, жалоба регистрируется в МФЦ не позднее следующего рабочего дня со дня поступления и в срок не позднее одного рабочего дня со дня регистрации направляется в Департамент, с одновременным уведомлением заявителя, направившего жалобу, о её переадресации. При этом срок рассмотрения жалобы исчисляется со дня регистрации жалобы в Департаменте.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Жалоба на нарушение порядка предоставления государственной услуги МФЦ рассматривается в соответствии с Порядком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МФЦ, утвержденным постановлением Правительства Тюменской области от 07.03.2012 № 68-п. 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7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Жалоба должна содержать: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1) наименование управления, учреждения, предоставляющего государственную услугу, либо имя должностного лица или государственного служащего, решения и действия (бездействие) которых обжалуются;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3) сведения об обжалуемых решениях и действиях (бездействии) Департамента, управления, учреждения, должностного лица, либо государственного служащего;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территориального управления, учреждения, предоставляющего государственную услугу, должностного лица, либо государственного служащего. 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8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Информация о порядке подачи и рассмотрения жалобы предоставляется заявителям должностными лицами Департамента, управления, учреждения по телефону и на личном приеме, а также размещается на странице Департамента официального портала органов государственной власти Тюменской области </w:t>
      </w:r>
      <w:hyperlink r:id="rId12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single"/>
            <w:lang w:val="en-US" w:eastAsia="ru-RU"/>
          </w:rPr>
          <w:t>www</w:t>
        </w:r>
      </w:hyperlink>
      <w:hyperlink r:id="rId13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single"/>
            <w:lang w:eastAsia="ru-RU"/>
          </w:rPr>
          <w:t>.</w:t>
        </w:r>
      </w:hyperlink>
      <w:hyperlink r:id="rId14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single"/>
            <w:lang w:val="en-US" w:eastAsia="ru-RU"/>
          </w:rPr>
          <w:t>admtyumen</w:t>
        </w:r>
      </w:hyperlink>
      <w:hyperlink r:id="rId15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single"/>
            <w:lang w:eastAsia="ru-RU"/>
          </w:rPr>
          <w:t>.</w:t>
        </w:r>
      </w:hyperlink>
      <w:hyperlink r:id="rId16">
        <w:r>
          <w:rPr>
            <w:rStyle w:val="Style12"/>
            <w:rFonts w:eastAsia="Times New Roman" w:cs="Arial" w:ascii="Arial" w:hAnsi="Arial"/>
            <w:b w:val="false"/>
            <w:bCs w:val="false"/>
            <w:color w:val="111111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, на федеральном и региональном порталах.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9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Департамента, территориального управления, учреждения, предоставляющего государственную услугу,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70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1) удовлетворяет жалобу;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b w:val="false"/>
          <w:b w:val="false"/>
          <w:bCs w:val="false"/>
          <w:color w:val="111111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2) отказывает в удовлетворении жалобы.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color w:val="111111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7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>1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111111"/>
          <w:sz w:val="24"/>
          <w:szCs w:val="24"/>
          <w:lang w:eastAsia="ru-RU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пункте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70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111111"/>
          <w:sz w:val="24"/>
          <w:szCs w:val="24"/>
          <w:lang w:eastAsia="ru-RU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strike/>
          <w:sz w:val="20"/>
          <w:szCs w:val="20"/>
          <w:lang w:eastAsia="ru-RU"/>
        </w:rPr>
      </w:pPr>
      <w:r>
        <w:rPr>
          <w:rFonts w:eastAsia="Times New Roman" w:cs="Arial" w:ascii="Arial" w:hAnsi="Arial"/>
          <w:strike/>
          <w:sz w:val="20"/>
          <w:szCs w:val="20"/>
          <w:lang w:eastAsia="ru-RU"/>
        </w:rPr>
      </w:r>
    </w:p>
    <w:p>
      <w:pPr>
        <w:pStyle w:val="ConsPlusNormal"/>
        <w:ind w:left="0" w:right="0" w:firstLine="540"/>
        <w:jc w:val="both"/>
        <w:rPr>
          <w:rFonts w:ascii="Arial" w:hAnsi="Arial" w:eastAsia="Times New Roman" w:cs="Arial"/>
          <w:strike/>
          <w:sz w:val="20"/>
          <w:szCs w:val="20"/>
          <w:highlight w:val="yellow"/>
          <w:lang w:eastAsia="ru-RU"/>
        </w:rPr>
      </w:pPr>
      <w:r>
        <w:rPr>
          <w:rFonts w:eastAsia="Times New Roman" w:cs="Arial"/>
          <w:strike/>
          <w:sz w:val="20"/>
          <w:szCs w:val="20"/>
          <w:highlight w:val="yellow"/>
          <w:lang w:eastAsia="ru-RU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trike/>
          <w:sz w:val="20"/>
          <w:szCs w:val="20"/>
        </w:rPr>
      </w:pPr>
      <w:r>
        <w:rPr>
          <w:strike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ConsPlusNormal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к Регламенту </w:t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Сведения о местонахождении, графиках работы, контактных телефонах, адресах электронной почты Департамента социального развития Тюменской области, территориальных управлений социальной защиты населения и автономных учреждений социального обслуживания населения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255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80"/>
        <w:gridCol w:w="1980"/>
        <w:gridCol w:w="1245"/>
        <w:gridCol w:w="1995"/>
        <w:gridCol w:w="2155"/>
      </w:tblGrid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Адрес места нахождения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-13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Контактные телефоны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Часы приема заявителей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Электронный адрес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</w:t>
            </w:r>
          </w:p>
        </w:tc>
      </w:tr>
      <w:tr>
        <w:trPr>
          <w:trHeight w:val="1238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Департамент социального развития Тюменской области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625048,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Тюмень, ул. Республики,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83«а».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50-24-39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 - 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8-45 – 18-00;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пятница                                                     9-00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hyperlink r:id="rId17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0000FF"/>
                  <w:sz w:val="20"/>
                  <w:szCs w:val="20"/>
                  <w:u w:val="single"/>
                  <w:lang w:val="en-US" w:eastAsia="en-US"/>
                </w:rPr>
                <w:t>dsoc</w:t>
              </w:r>
            </w:hyperlink>
            <w:hyperlink r:id="rId18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0000FF"/>
                  <w:sz w:val="20"/>
                  <w:szCs w:val="20"/>
                  <w:u w:val="single"/>
                  <w:lang w:eastAsia="en-US"/>
                </w:rPr>
                <w:t>@72</w:t>
              </w:r>
            </w:hyperlink>
            <w:hyperlink r:id="rId19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0000FF"/>
                  <w:sz w:val="20"/>
                  <w:szCs w:val="20"/>
                  <w:u w:val="single"/>
                  <w:lang w:val="en-US" w:eastAsia="en-US"/>
                </w:rPr>
                <w:t>to</w:t>
              </w:r>
            </w:hyperlink>
            <w:hyperlink r:id="rId20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</w:hyperlink>
            <w:hyperlink r:id="rId21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Абатский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(Абатский, Викуловский и Сорокинский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627540,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с.Абатское, ул.Ленина,10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4-11-67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abatsk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«Милосердие»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627540,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с.Абатское, ул.Краснофлотская, 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4-12-15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5-20-65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abatsk-c@sznto.ru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Армизонский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 населения Межрайонного управления социальной защиты населения (Омутинский, Армизонский и Юргинский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627220, с.Армизонское, ул.Ленина,5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2-46-40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armizon@sznto.ru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Армизонского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627220, с.Армизонское, ул.Рабочая, 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2-35-31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ano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Армизонский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с.Армизонское, ул.Ленина, 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(34547) 2-32-10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Аромашевский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(Голышмановский, Аромашевский, Бердюжский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627350,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с.Аромашево, ул.Ленина,166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2-17-56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aromash@sznto.ru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«Аромашевский комплексный центр социального обслуживания населения»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627321, 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с.Аромашево, ул.Комсомольская, 55а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2-26-41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aromash-kcson@sznto.ru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Аромашевский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с. Аромашево, ул.Ленина, 166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(34545) 2-31-52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Бердюжский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(Голышмановский, Аромашевский, Бердюжский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627440,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с.Бердюжье, ул.Гнаровской,5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(34554)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2-25-35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16-15,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berduje@sznto.ru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«Комплексный центр социального обслуживания населения Бердюжского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627440,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с.Бердюжье, ул.Гнаровской,5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(34554)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2-25-67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16-15,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berd-kcso@sznto.ru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Бердюжский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Бердюжье, ул. Ленина, 27а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(34554)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2-13-44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Вагайский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(Уватский, Вагайский районы).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626240,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с.Вагай,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ул.Ленина,6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(34539)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2-14-71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vagy@sznto.ru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«Комплексный центр социального обслуживания населения Вагайского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626240,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с.Вагай,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ул.Ленина,6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(34539)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2-24-57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vagy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Викуловский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(Абатский, Викуловский и Сорокинский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627570,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с.Викулово, ул.Ленина,2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2-34-97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vikulovo@sznto.ru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«Комплексный центр социального обслуживания населения Викуловского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627570, с.Викулово, ул.Ленина,9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2-32-55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-158" w:right="-108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Vikulovo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kcson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Голышмановский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(Голышмановский, Аромашевский, Бердюжский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627300, п.Голышманово, ул.Советская,20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2-75-48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9-00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golysh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Голышмановского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627300,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п.Голышманово,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 Советская,20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2-55-95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2-79-31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2-75-72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golysh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Заводоуковский городской округ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(Заводоуковский городской округ и Упоровский район)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627140,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г.Заводоуковск, ул.Первомайская,6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6-04-29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17-00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zavod@sznto.ru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социального обслуживания населения муниципального образования Заводоуковский городской округ «Комплексный центр социального обслуживания»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627140,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г.Заводоуковск, ул.Первомайская,6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2-22-00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17-00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ano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zavod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Исетский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(г.Ялуторовск, Ялуторовский и Исетский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627380,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с.Исетское, ул.Кирова,18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2-15-77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isetsk@sznto.ru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«Комплексный центр социального обслуживания населения «Забота» Исетского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627380,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с.Исетское,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ул.Кирова, 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(34537)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2-32-52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iIsetsk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cso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Исетский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Исетское, ул.Механизаторов, 23, стр. 3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(34537)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2-23-17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Ишим город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 г.Ишима и Ишимского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627750,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г.Ишим, ул.Свердлова,43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7-61-84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9-00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18-00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ishimg@sznto.ru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Автономное учреждение «Ишимский городской  центр социального обслуживания населения «Забота»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627750,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г.Ишим,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ул.Комсомольская, 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5-43-17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5-43-95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9-00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ishimg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zabota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Ишимский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Ишим, ул. Карла Маркса, 57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(34551) 7-24-34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 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Ишимский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 г.Ишима и Ишимского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627750,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г.Ишим, ул.Ленина,48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5-13-48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ishimr@sznto.ru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Ишимского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627750,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г.Ишим, ул.Ленина,48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5-13-85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5-13-54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kczon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yandex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Казанский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(Казанский,  Сладковский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627420,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с.Казанское, ул.Ленина,10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4-20-52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kazan@sznto.ru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Казанского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627420,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с.Казанское, ул.Ишимская,31а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4-12-35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-15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kazan_kcson@sznto.ru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Казанский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Казанское, ул.Ленина, 12 </w:t>
            </w: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литер 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(34553)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4-54-59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ind w:left="-15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Нижнетавдинский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626020,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с.Нижняя Тавда, ул.Ленина,12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2-33-48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tavd@sznto.ru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«Тавда» Нижнетавдинского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626020,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с.Нижняя Тавда,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ул.8 Марта,3а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2-31-57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tavd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Нижнетавдинский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Нижняя Тавда, ул.Ульянова, 5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(34533) 2-36-26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Омутинский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(Омутинский, Армизонский и Юргинский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627070,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с.Омутинское, ул.Советская,122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(34544)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3-10-44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omut@sznto.ru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«Центр социального обслуживания населения Омутинского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627070,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с.Омутинское, ул.Советская,126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(34544)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3-35-52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omut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Омутинский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Омутинское, ул. Терешковой, 7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(34544) 3-30-66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Сладковский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(Казанский,  Сладковский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627610,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с.Сладково, ул.Ленина,104а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2-39-77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12-00,</w:t>
            </w:r>
          </w:p>
          <w:p>
            <w:pPr>
              <w:pStyle w:val="Normal"/>
              <w:spacing w:lineRule="auto" w:line="276"/>
              <w:ind w:left="-108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вторник-пятница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sladkovo@sznto.ru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комплексный центр социального обслуживания населения «Виктория»</w:t>
            </w:r>
          </w:p>
          <w:p>
            <w:pPr>
              <w:pStyle w:val="Normal"/>
              <w:tabs>
                <w:tab w:val="left" w:pos="2667" w:leader="none"/>
              </w:tabs>
              <w:spacing w:lineRule="auto" w:line="276" w:before="0" w:after="20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627610,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с.Сладково, ул.Ленина,104а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2-36-29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12-00,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вторник-пятница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sladkovo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vik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2011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mail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Сладковский филиал 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Сладково, ул. Пушкина, 6, стр. 2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(34555) 2-32-92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Сорокинский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управление социальной защиты населения (Абатский, Викуловский и Сорокинский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627500,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с.Б.Сорокино,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ул.40 лет Октября, 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(34550)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2-13-75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sorokino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«Комплексный центр социального обслуживания населения Сорокинского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627500,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с.Б.Сорокино,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ул.40 лет Октября, 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(34550)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2-10-56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sorokino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kson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Тобольск город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626152,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г.Тобольск,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ул.Ремезова,27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24-66-26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понедельник-четверг: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9-00 - 13-00,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14-00 - 18-00,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пятница: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9-00 - 13-00 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>14-00 - 17-00.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tobolg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«Центр социального обслуживания населения»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626152,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г.Тобольск,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 мкр, д. 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25-24-57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понедельник-четверг: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9-00 - 13-00,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14-00 - 18-00,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пятница: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9-00 - 13-00 ,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>14-00 - 17-00.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centr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tob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Тобольский филиал ГАУ ТО "МФЦ"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Тобольск, 8-ой микрорайон, 32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(3456) 227-502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 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Тобольский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(Тобольский, Ярковский районы).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626152,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г.Тобольск,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пер.Рощинский,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40/2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25-12-56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24-90-82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 четверг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17-00, пятница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12-00, 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tobolr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«Комплексный центр социального обслуживания населения Тобольского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г.Тобольск, ул.Семакова,41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22-32-46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tobolr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Тюменский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 г. Тюмени и Тюменского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625048,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Тюмень,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ул.Холодильная,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120/2а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42-62-66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30-14-47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– 12-00, 13-00 – 17-15,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tyumen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 Тюменской области «Комплексный центр социального обслуживания населения Тюменского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625501,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п.Московский</w:t>
              <w:br/>
              <w:t>ул.Озерная,7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76-40-61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9-00 – 13-00,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9-00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tmnr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ГАУ ТО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Первомайская, 50/1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1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Щербакова, 98/3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2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Ямская, 57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390-191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3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30 лет Победы, 95, корпус 2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399-688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4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 xml:space="preserve">г.  Тюмень, ул.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Пышминская, д.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390-218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5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г. Тюмень, ул.  Прокопия Артамонова, д. 8/1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399-643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Тюменский филиал № 6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  Водопроводная д. 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390-135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Тюменский филиал №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ГАУ ТО  «МФЦ»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625013,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50 лет Октября, 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д.57а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289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Тюменский филиал №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ГАУ ТО  «МФЦ»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625059,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Тимофея Чаркова,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д.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289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Уватский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(Уватский, Вагайский районы).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626170,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Уват,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ул.Иртышская,19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2-80-87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8-45 – 13-00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9-00 – 13-00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uvat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 «Комплексный центр социального обслуживания населения Уватского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626170,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Уват,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ул.Дзержинского,17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(34561)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2-80-86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2-16-37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8-45 – 13-00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9-00 – 13-00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uvat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Упоровский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(Заводоуковский городской округ и Упоровский район)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627180,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Упорово,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ул.Крупской,38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3-15-39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upor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 Упоровского муниципального района «Комплексный центр социального обслуживания населения»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627180,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Упорово,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ул.Крупской,38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3-29-48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ano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_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upor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Юргинский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(Омутинский, Армизонский и Юргинский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627250,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Юргинское,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 Центральная, 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2-44-93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jurga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Автономное учреждение  «Комплексный центр социального обслуживания населения Юргинского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627250,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Юргинское,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ул.Восточная,38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(34543)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2-36-82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jurga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Юргинский филиал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с. Юргинское, ул. Восточная, 38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(34543) 2-30-93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вторник-пятница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–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Ялуторовск город и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Межрайонное управление социальной защиты населения (г.Ялуторовск, Ялуторовский и Исетский районы)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627010,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Ялуторовск, 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ул.Красноармейская,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2-06-52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понедельник, вторник, среда, 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jaltag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г.Ялуторовска «Ялуторовский  комплексный центр социального обслуживания населения»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627010,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Ялуторовск, 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ул.Красноармейская,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3-04-65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понедельник, вторник, среда, 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15-00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jalta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«Комплексный центр социального обслуживания населения Ялуторовского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627010,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Ялуторовск,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ул.Тюменская,23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(34535)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3-93-21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 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17-00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jalta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Ярковский район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Отдел социальной защиты населения Межрайонного управления социальной защиты населения (Тобольский, Ярковский районы).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626050,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Ярково,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ул.Ленина,92а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2-55-79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jarkovo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Муниципальное автономное учреждение  «Комплексный центр социального обслуживания населения Ярковского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626050,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с. Ярково, 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ул. Мира,  27,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ул. Ленина, 92 а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(34531)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2-52-04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8-00 – 12-00,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13-00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jark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kcson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/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город Тюмень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Управление социальной защиты населения г. Тюмени и Тюменского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625048,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г. Тюмень,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ул.Холодильная,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120/2а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50-29-30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понедельник-пятница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9-00 – 13-00, 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14-00 – 16-00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center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@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sznto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ru</w:t>
            </w:r>
          </w:p>
        </w:tc>
      </w:tr>
      <w:tr>
        <w:trPr>
          <w:trHeight w:val="1851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 xml:space="preserve">Автономное учреждение социального обслуживания населения Тюменской области «Областной центр реабилитации инвалидов»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 xml:space="preserve">625001,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 xml:space="preserve">г.Тюмень,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>ул.Уральская,</w:t>
            </w:r>
          </w:p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 xml:space="preserve">д. 60/1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>(3452)</w:t>
            </w:r>
          </w:p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>43-13-53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>понедельник - четверг</w:t>
              <w:br/>
              <w:t xml:space="preserve">8-00 - 12-00, </w:t>
            </w:r>
          </w:p>
          <w:p>
            <w:pPr>
              <w:pStyle w:val="Style15"/>
              <w:autoSpaceDE w:val="false"/>
              <w:bidi w:val="0"/>
              <w:spacing w:lineRule="auto" w:line="240" w:before="0" w:after="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en-US" w:bidi="hi-IN"/>
              </w:rPr>
              <w:t>12-45 - 17-00</w:t>
              <w:br/>
              <w:t>пятница</w:t>
              <w:br/>
              <w:t xml:space="preserve">8-00 - 12-00, 13-00 - 16-00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Style12"/>
                  <w:rFonts w:eastAsia="Calibri" w:cs="Arial" w:ascii="Arial" w:hAnsi="Arial"/>
                  <w:b w:val="false"/>
                  <w:bCs w:val="false"/>
                  <w:color w:val="auto"/>
                  <w:sz w:val="20"/>
                  <w:szCs w:val="20"/>
                  <w:lang w:val="ru-RU" w:eastAsia="en-US" w:bidi="hi-IN"/>
                </w:rPr>
                <w:t>orci72@yandex.ru</w:t>
              </w:r>
            </w:hyperlink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ГАУ ТО "Многофункциональный центр предоставления государственных и муниципальных услуг в Тюменской области" (далее ГАУ ТО «МФЦ»)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г. Тюмень, ул. Первомайская, 50/1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1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Щербакова, 98/3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2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Ямская, 57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390-191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3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 xml:space="preserve">г. Тюмень, ул. 30 лет Победы, 95, корпус 2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(3452) 399-688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4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 xml:space="preserve">г.  Тюмень, ул.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Пышминская, д.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390-218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 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Тюменский филиал № 5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г. Тюмень, ул.  Прокопия Артамонова, д. 8/1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399-643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0"/>
                <w:szCs w:val="20"/>
                <w:lang w:eastAsia="en-US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Тюменский филиал № 6 ГАУ ТО  «МФЦ»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  Водопроводная д. 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390-135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Тюменский филиал №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ГАУ ТО  «МФЦ»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625013,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50 лет Октября, 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д.57а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289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Тюменский филиал №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8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ГАУ ТО  «МФЦ»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625059,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г. Тюмень, ул.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Тимофея Чаркова,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д.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(3452) 39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289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понедельник-суббота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8-00 - 20-00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ind w:left="0" w:right="0" w:firstLine="708"/>
        <w:jc w:val="center"/>
        <w:rPr>
          <w:rFonts w:ascii="Arial" w:hAnsi="Arial"/>
          <w:b w:val="false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ConsPlusNormal"/>
        <w:ind w:left="0" w:right="0" w:hanging="0"/>
        <w:jc w:val="both"/>
        <w:rPr>
          <w:rFonts w:ascii="Arial" w:hAnsi="Arial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right="0" w:hanging="0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ConsPlusNormal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Регламенту</w:t>
      </w:r>
    </w:p>
    <w:p>
      <w:pPr>
        <w:pStyle w:val="ConsPlusNormal"/>
        <w:ind w:left="0" w:righ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ind w:left="0" w:right="0" w:hanging="0"/>
        <w:jc w:val="both"/>
        <w:rPr/>
      </w:pPr>
      <w:r>
        <w:rPr/>
        <w:t xml:space="preserve">                                       </w:t>
      </w:r>
    </w:p>
    <w:tbl>
      <w:tblPr>
        <w:tblW w:w="4614" w:type="dxa"/>
        <w:jc w:val="right"/>
        <w:tblInd w:w="0" w:type="dxa"/>
        <w:tblBorders>
          <w:top w:val="single" w:sz="4" w:space="0" w:color="000001"/>
          <w:bottom w:val="single" w:sz="4" w:space="0" w:color="FFFFFF"/>
          <w:insideH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</w:tblGrid>
      <w:tr>
        <w:trPr/>
        <w:tc>
          <w:tcPr>
            <w:tcW w:w="4614" w:type="dxa"/>
            <w:tcBorders>
              <w:top w:val="single" w:sz="4" w:space="0" w:color="000001"/>
              <w:bottom w:val="single" w:sz="4" w:space="0" w:color="FFFFFF"/>
              <w:insideH w:val="single" w:sz="4" w:space="0" w:color="FFFFFF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trike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trike/>
                <w:sz w:val="20"/>
                <w:szCs w:val="20"/>
                <w:highlight w:val="yellow"/>
                <w:lang w:eastAsia="ru-RU"/>
              </w:rPr>
            </w:r>
          </w:p>
          <w:tbl>
            <w:tblPr>
              <w:tblW w:w="4624" w:type="dxa"/>
              <w:jc w:val="left"/>
              <w:tblInd w:w="-7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24"/>
            </w:tblGrid>
            <w:tr>
              <w:trPr/>
              <w:tc>
                <w:tcPr>
                  <w:tcW w:w="4624" w:type="dxa"/>
                  <w:tcBorders/>
                  <w:shd w:fill="FFFFFF" w:val="clear"/>
                </w:tcPr>
                <w:p>
                  <w:pPr>
                    <w:pStyle w:val="Normal"/>
                    <w:widowControl w:val="false"/>
                    <w:suppressAutoHyphens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  <w:t>В управление социальной защиты населения _______________________________________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  <w:t>(наименование муниципального района, городского округа)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  <w:lang w:eastAsia="ru-RU" w:bidi="hi-IN"/>
                    </w:rPr>
                    <w:t>______________________________________</w:t>
                  </w:r>
                </w:p>
              </w:tc>
            </w:tr>
            <w:tr>
              <w:trPr>
                <w:trHeight w:val="323" w:hRule="atLeast"/>
              </w:trPr>
              <w:tc>
                <w:tcPr>
                  <w:tcW w:w="4624" w:type="dxa"/>
                  <w:tcBorders>
                    <w:top w:val="single" w:sz="4" w:space="0" w:color="000001"/>
                    <w:bottom w:val="single" w:sz="4" w:space="0" w:color="FFFFFF"/>
                    <w:insideH w:val="single" w:sz="4" w:space="0" w:color="FFFFFF"/>
                  </w:tcBorders>
                  <w:shd w:fill="FFFFFF" w:val="clear"/>
                </w:tcPr>
                <w:p>
                  <w:pPr>
                    <w:pStyle w:val="Standard"/>
                    <w:jc w:val="center"/>
                    <w:rPr>
                      <w:rFonts w:ascii="Arial" w:hAnsi="Arial" w:eastAsia="Times New Roman" w:cs="Times New Roman"/>
                      <w:b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rPr>
          <w:rFonts w:ascii="Arial" w:hAnsi="Arial" w:eastAsia="Times New Roman" w:cs="Arial"/>
          <w:b/>
          <w:b/>
          <w:sz w:val="24"/>
          <w:szCs w:val="24"/>
          <w:highlight w:val="yellow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  <w:t>на выдачу направления на медико-социальную экспертизу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Я,______________________________________________________________________________________________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 xml:space="preserve">(Ф.И.О. заявителя, дата рождения)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(вид документа, удостоверяющего личность заявителя)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(адрес по месту регистрации)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(фактический адрес, контактный телефон)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Прошу направить меня (инвалида, ребенка-инвалида) на медико-социальную экспертизу с целью разработки (коррекции</w:t>
      </w:r>
      <w:r>
        <w:rPr>
          <w:rFonts w:eastAsia="Times New Roman" w:cs="Arial" w:ascii="Arial" w:hAnsi="Arial"/>
          <w:b w:val="false"/>
          <w:bCs w:val="false"/>
          <w:spacing w:val="-6"/>
          <w:sz w:val="20"/>
          <w:szCs w:val="20"/>
          <w:lang w:eastAsia="ru-RU"/>
        </w:rPr>
        <w:t>) индивидуальной программы реабилитации или абилитации инвалида, ребенка-инвалида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(Ф.И.О. инвалида, ребенка-инвалида, дата рождения)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(вид документа, удостоверяющего личность инвалида, ребенка-инвалида)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(адрес по месту регистрации инвалида, ребенка-инвалида)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(фактический адрес инвалида, ребенка-инвалида)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Социальная категория (нужное подчеркнуть): инвалид первой, второй, третьей группы, ребенок-инвалид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Срок действия</w:t>
      </w:r>
      <w:r>
        <w:rPr>
          <w:rFonts w:eastAsia="Times New Roman" w:cs="Arial" w:ascii="Arial" w:hAnsi="Arial"/>
          <w:b w:val="false"/>
          <w:bCs w:val="false"/>
          <w:spacing w:val="-6"/>
          <w:sz w:val="20"/>
          <w:szCs w:val="20"/>
          <w:lang w:eastAsia="ru-RU"/>
        </w:rPr>
        <w:t xml:space="preserve"> ИПРА (</w:t>
      </w: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нужное подчеркнуть): 1 год, 2 года, до 18-ти лет, бессрочно.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trike w:val="false"/>
          <w:dstrike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strike w:val="false"/>
          <w:dstrike w:val="false"/>
          <w:sz w:val="20"/>
          <w:szCs w:val="20"/>
          <w:lang w:eastAsia="ru-RU"/>
        </w:rPr>
        <w:t>Особая социальная категория (нужное подчеркнуть): участник ликвидации последствий  катастрофы на Чернобыльской АЭС; участник ликвидации последствий аварии на ПО "Маяк"; участник ликвидации последствий  радиационных  аварий и катастроф на других объектах (кроме Чернобыльской АЭС и ПО "Маяк"); лицо, проживающее на радиационно загрязненной территории; ветеран подразделения особого риска; ветеран Великой  Отечественной войны; ветеран боевых действий; участник контртеррористической  операции на территории Чеченской Республики; бывший военнослужащий Российской (Советской) Армии; другое (вписать)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trike w:val="false"/>
          <w:dstrike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strike w:val="false"/>
          <w:dstrike w:val="false"/>
          <w:sz w:val="20"/>
          <w:szCs w:val="20"/>
          <w:lang w:eastAsia="ru-RU"/>
        </w:rPr>
        <w:t>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Медицинский документ (нужное подчеркнуть): заключение врача, справка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Наименование и адрес места работы, должность 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Наименование и адрес образовательной организации, группа, класс, курс 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Семейное положение (нужное подчеркнуть): одинокий, семейный, ребенок-сирота, ребенок-оставшийся без попечения родителей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Характеристика семьи (нужное подчеркнуть): полная, полная многодетная, неполная, неполная многодетная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 xml:space="preserve">Роль в семье (нужное подчеркнуть): кормилец (указать число иждивенцев), </w:t>
      </w: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иждивенец</w:t>
      </w:r>
      <w:r>
        <w:rPr>
          <w:rFonts w:eastAsia="Times New Roman" w:cs="Arial" w:ascii="Arial" w:hAnsi="Arial"/>
          <w:b w:val="false"/>
          <w:bCs w:val="false"/>
          <w:spacing w:val="-6"/>
          <w:sz w:val="20"/>
          <w:szCs w:val="20"/>
          <w:lang w:eastAsia="ru-RU"/>
        </w:rPr>
        <w:t xml:space="preserve">_______ </w:t>
      </w:r>
      <w:r>
        <w:rPr>
          <w:rFonts w:eastAsia="Times New Roman" w:cs="Arial" w:ascii="Arial" w:hAnsi="Arial"/>
          <w:b w:val="false"/>
          <w:bCs w:val="false"/>
          <w:spacing w:val="-6"/>
          <w:sz w:val="20"/>
          <w:szCs w:val="20"/>
          <w:lang w:eastAsia="ru-RU"/>
        </w:rPr>
        <w:t>чел.</w:t>
      </w:r>
      <w:r>
        <w:rPr>
          <w:rFonts w:eastAsia="Times New Roman" w:cs="Arial" w:ascii="Arial" w:hAnsi="Arial"/>
          <w:b w:val="false"/>
          <w:bCs w:val="false"/>
          <w:spacing w:val="-6"/>
          <w:sz w:val="20"/>
          <w:szCs w:val="20"/>
          <w:lang w:eastAsia="ru-RU"/>
        </w:rPr>
        <w:t>,</w:t>
      </w: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 xml:space="preserve"> член семьи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Количество членов семьи __________, в том числе детей _____________; из числа членов семьи количество инвалидов: _________, в том числе детей-инвалидов: 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Вид жилья (нужное подчеркнуть): не имеет жилья; комната в коммунальной  квартире; отдельная квартира; собственный дом (часть дома); комната в общежитии; жилое  помещение в учреждении социального обслуживания; иное (указать)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Наличие в жилье основных видов удобств (нужное подчеркнуть): лифт, мусоропровод,  горячая вода, холодная вода, канализация, ванная (душ), центральное паровое отопление, печное отопление, газ, электричество, телефон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ab/>
        <w:t>Приложение: 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  <w:t>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pacing w:val="-6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6"/>
          <w:sz w:val="20"/>
          <w:szCs w:val="20"/>
          <w:lang w:eastAsia="ru-RU"/>
        </w:rPr>
      </w:r>
    </w:p>
    <w:tbl>
      <w:tblPr>
        <w:tblW w:w="2775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</w:tblGrid>
      <w:tr>
        <w:trPr/>
        <w:tc>
          <w:tcPr>
            <w:tcW w:w="2775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(дата)</w:t>
            </w:r>
          </w:p>
        </w:tc>
      </w:tr>
    </w:tbl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______________________                                                    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    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(подпись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заявителя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)</w:t>
        <w:tab/>
        <w:tab/>
        <w:t xml:space="preserve">                                                          (Ф.И.О.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заявителя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left="-960" w:right="0" w:hanging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             </w:t>
      </w:r>
      <w:r>
        <w:rPr>
          <w:rFonts w:eastAsia="Times New Roman" w:cs="Arial" w:ascii="Arial" w:hAnsi="Arial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-600" w:right="0" w:hanging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(линия отреза)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Расписка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Заявление __________________________________________________________________________________</w:t>
      </w:r>
    </w:p>
    <w:p>
      <w:pPr>
        <w:pStyle w:val="Normal"/>
        <w:spacing w:lineRule="auto" w:line="240" w:before="0" w:after="0"/>
        <w:ind w:left="-720" w:right="0" w:hanging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 приложением документов на __________ л. принято «____» ____________ 20___ года и зарегистрировано под № 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</w:t>
        <w:tab/>
        <w:t xml:space="preserve">               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        </w:t>
      </w:r>
      <w:r>
        <w:rPr>
          <w:rFonts w:eastAsia="Times New Roman" w:cs="Arial" w:ascii="Arial" w:hAnsi="Arial"/>
          <w:sz w:val="20"/>
          <w:szCs w:val="20"/>
          <w:lang w:eastAsia="ru-RU"/>
        </w:rPr>
        <w:t>(подпись)</w:t>
        <w:tab/>
        <w:tab/>
        <w:t xml:space="preserve">                               (Ф.И.О. специалиста, принявшего заявление)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center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  <w:t>Приложение 3</w: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  <w:t>к Регламенту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Блок-схема предоставления государственной услуги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«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Выдача направления на медико-социальную экспертизу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органом социальной защиты населения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 xml:space="preserve">» </w:t>
      </w:r>
    </w:p>
    <w:p>
      <w:pPr>
        <w:sectPr>
          <w:footerReference w:type="default" r:id="rId23"/>
          <w:type w:val="nextPage"/>
          <w:pgSz w:w="11906" w:h="16838"/>
          <w:pgMar w:left="1005" w:right="567" w:header="0" w:top="567" w:footer="709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bookmarkStart w:id="0" w:name="__UnoMark__6052_561000723"/>
      <w:bookmarkStart w:id="1" w:name="__UnoMark__6047_561000723"/>
      <w:bookmarkStart w:id="2" w:name="__UnoMark__6045_561000723"/>
      <w:bookmarkStart w:id="3" w:name="__UnoMark__6043_561000723"/>
      <w:bookmarkStart w:id="4" w:name="__UnoMark__6041_561000723"/>
      <w:bookmarkStart w:id="5" w:name="__UnoMark__6034_561000723"/>
      <w:bookmarkStart w:id="6" w:name="__UnoMark__6027_561000723"/>
      <w:bookmarkStart w:id="7" w:name="__UnoMark__6025_561000723"/>
      <w:bookmarkStart w:id="8" w:name="__UnoMark__6023_561000723"/>
      <w:bookmarkStart w:id="9" w:name="__UnoMark__6018_561000723"/>
      <w:bookmarkStart w:id="10" w:name="__UnoMark__6011_561000723"/>
      <w:bookmarkStart w:id="11" w:name="__UnoMark__6009_561000723"/>
      <w:bookmarkStart w:id="12" w:name="__UnoMark__6004_561000723"/>
      <w:bookmarkStart w:id="13" w:name="__UnoMark__5997_561000723"/>
      <w:bookmarkStart w:id="14" w:name="__UnoMark__5995_561000723"/>
      <w:bookmarkStart w:id="15" w:name="__UnoMark__5993_561000723"/>
      <w:bookmarkStart w:id="16" w:name="__UnoMark__5986_561000723"/>
      <w:bookmarkStart w:id="17" w:name="__UnoMark__5979_561000723"/>
      <w:bookmarkStart w:id="18" w:name="__UnoMark__5968_561000723"/>
      <w:bookmarkStart w:id="19" w:name="__UnoMark__5966_561000723"/>
      <w:bookmarkStart w:id="20" w:name="__UnoMark__5964_561000723"/>
      <w:bookmarkStart w:id="21" w:name="__UnoMark__5962_561000723"/>
      <w:bookmarkStart w:id="22" w:name="__UnoMark__5955_561000723"/>
      <w:bookmarkStart w:id="23" w:name="__UnoMark__5953_561000723"/>
      <w:bookmarkStart w:id="24" w:name="__UnoMark__6061_561000723"/>
      <w:bookmarkStart w:id="25" w:name="__UnoMark__6059_561000723"/>
      <w:bookmarkStart w:id="26" w:name="__UnoMark__6052_561000723"/>
      <w:bookmarkStart w:id="27" w:name="__UnoMark__6047_561000723"/>
      <w:bookmarkStart w:id="28" w:name="__UnoMark__6045_561000723"/>
      <w:bookmarkStart w:id="29" w:name="__UnoMark__6043_561000723"/>
      <w:bookmarkStart w:id="30" w:name="__UnoMark__6041_561000723"/>
      <w:bookmarkStart w:id="31" w:name="__UnoMark__6034_561000723"/>
      <w:bookmarkStart w:id="32" w:name="__UnoMark__6027_561000723"/>
      <w:bookmarkStart w:id="33" w:name="__UnoMark__6025_561000723"/>
      <w:bookmarkStart w:id="34" w:name="__UnoMark__6023_561000723"/>
      <w:bookmarkStart w:id="35" w:name="__UnoMark__6018_561000723"/>
      <w:bookmarkStart w:id="36" w:name="__UnoMark__6011_561000723"/>
      <w:bookmarkStart w:id="37" w:name="__UnoMark__6009_561000723"/>
      <w:bookmarkStart w:id="38" w:name="__UnoMark__6004_561000723"/>
      <w:bookmarkStart w:id="39" w:name="__UnoMark__5997_561000723"/>
      <w:bookmarkStart w:id="40" w:name="__UnoMark__5995_561000723"/>
      <w:bookmarkStart w:id="41" w:name="__UnoMark__5993_561000723"/>
      <w:bookmarkStart w:id="42" w:name="__UnoMark__5986_561000723"/>
      <w:bookmarkStart w:id="43" w:name="__UnoMark__5979_561000723"/>
      <w:bookmarkStart w:id="44" w:name="__UnoMark__5968_561000723"/>
      <w:bookmarkStart w:id="45" w:name="__UnoMark__5966_561000723"/>
      <w:bookmarkStart w:id="46" w:name="__UnoMark__5964_561000723"/>
      <w:bookmarkStart w:id="47" w:name="__UnoMark__5962_561000723"/>
      <w:bookmarkStart w:id="48" w:name="__UnoMark__5955_561000723"/>
      <w:bookmarkStart w:id="49" w:name="__UnoMark__5953_561000723"/>
      <w:bookmarkStart w:id="50" w:name="__UnoMark__6061_561000723"/>
      <w:bookmarkStart w:id="51" w:name="__UnoMark__6059_56100072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  <mc:AlternateContent>
          <mc:Choice Requires="wps">
            <w:drawing>
              <wp:anchor behindDoc="0" distT="0" distB="57150" distL="209550" distR="171450" simplePos="0" locked="0" layoutInCell="1" allowOverlap="1" relativeHeight="3">
                <wp:simplePos x="0" y="0"/>
                <wp:positionH relativeFrom="column">
                  <wp:posOffset>1629410</wp:posOffset>
                </wp:positionH>
                <wp:positionV relativeFrom="paragraph">
                  <wp:posOffset>1671955</wp:posOffset>
                </wp:positionV>
                <wp:extent cx="5715" cy="233680"/>
                <wp:effectExtent l="0" t="0" r="0" b="0"/>
                <wp:wrapNone/>
                <wp:docPr id="2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3335" distL="114300" distR="140970" simplePos="0" locked="0" layoutInCell="1" allowOverlap="1" relativeHeight="4">
                <wp:simplePos x="0" y="0"/>
                <wp:positionH relativeFrom="column">
                  <wp:posOffset>1235710</wp:posOffset>
                </wp:positionH>
                <wp:positionV relativeFrom="paragraph">
                  <wp:posOffset>8222615</wp:posOffset>
                </wp:positionV>
                <wp:extent cx="4139565" cy="389890"/>
                <wp:effectExtent l="0" t="0" r="0" b="0"/>
                <wp:wrapNone/>
                <wp:docPr id="3" name="Скругленный прямоугольник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20" cy="38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lang w:val="ru-RU" w:eastAsia="ru-RU"/>
                              </w:rPr>
                              <w:t>Предоставление государственной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1173480</wp:posOffset>
                </wp:positionH>
                <wp:positionV relativeFrom="paragraph">
                  <wp:posOffset>7214235</wp:posOffset>
                </wp:positionV>
                <wp:extent cx="4135755" cy="768985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960" cy="76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lang w:val="ru-RU" w:eastAsia="ru-RU"/>
                              </w:rPr>
                              <w:t>Выдача заявителю направления на медико-социальную экспертизу либо справки об отказе в выдаче направления на медико-социальную экспертизу</w:t>
                            </w:r>
                          </w:p>
                        </w:txbxContent>
                      </wps:txbx>
                      <wps:bodyPr lIns="54000" rIns="54000" tIns="54000" bIns="54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92.4pt;margin-top:568.05pt;width:325.55pt;height:60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4"/>
                        <w:spacing w:before="0" w:after="0"/>
                        <w:jc w:val="center"/>
                        <w:rPr/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00000A"/>
                          <w:sz w:val="20"/>
                          <w:szCs w:val="20"/>
                          <w:lang w:val="ru-RU" w:eastAsia="ru-RU"/>
                        </w:rPr>
                        <w:t>Выдача заявителю направления на медико-социальную экспертизу либо справки об отказе в выдаче направления на медико-социальную экспертизу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6">
                <wp:simplePos x="0" y="0"/>
                <wp:positionH relativeFrom="column">
                  <wp:posOffset>4712970</wp:posOffset>
                </wp:positionH>
                <wp:positionV relativeFrom="paragraph">
                  <wp:posOffset>5086985</wp:posOffset>
                </wp:positionV>
                <wp:extent cx="5715" cy="233680"/>
                <wp:effectExtent l="0" t="0" r="0" b="0"/>
                <wp:wrapNone/>
                <wp:docPr id="7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7">
                <wp:simplePos x="0" y="0"/>
                <wp:positionH relativeFrom="column">
                  <wp:posOffset>3139440</wp:posOffset>
                </wp:positionH>
                <wp:positionV relativeFrom="paragraph">
                  <wp:posOffset>801370</wp:posOffset>
                </wp:positionV>
                <wp:extent cx="5715" cy="214630"/>
                <wp:effectExtent l="0" t="0" r="0" b="0"/>
                <wp:wrapNone/>
                <wp:docPr id="8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1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8575" distL="114300" distR="133350" simplePos="0" locked="0" layoutInCell="1" allowOverlap="1" relativeHeight="8">
                <wp:simplePos x="0" y="0"/>
                <wp:positionH relativeFrom="column">
                  <wp:posOffset>3778250</wp:posOffset>
                </wp:positionH>
                <wp:positionV relativeFrom="paragraph">
                  <wp:posOffset>5391785</wp:posOffset>
                </wp:positionV>
                <wp:extent cx="2710180" cy="701675"/>
                <wp:effectExtent l="0" t="0" r="0" b="0"/>
                <wp:wrapNone/>
                <wp:docPr id="9" name="Скругленный 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20" cy="70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Arial" w:hAnsi="Arial" w:eastAsia="Calibri" w:cs="Tahoma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>Управлением принято решение об отказе в предоставлении государственной услуги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9">
                <wp:simplePos x="0" y="0"/>
                <wp:positionH relativeFrom="column">
                  <wp:posOffset>4627880</wp:posOffset>
                </wp:positionH>
                <wp:positionV relativeFrom="paragraph">
                  <wp:posOffset>2500630</wp:posOffset>
                </wp:positionV>
                <wp:extent cx="4445" cy="324485"/>
                <wp:effectExtent l="0" t="0" r="0" b="0"/>
                <wp:wrapNone/>
                <wp:docPr id="11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6510" distL="114300" distR="142875" simplePos="0" locked="0" layoutInCell="1" allowOverlap="1" relativeHeight="10">
                <wp:simplePos x="0" y="0"/>
                <wp:positionH relativeFrom="column">
                  <wp:posOffset>749300</wp:posOffset>
                </wp:positionH>
                <wp:positionV relativeFrom="paragraph">
                  <wp:posOffset>3776345</wp:posOffset>
                </wp:positionV>
                <wp:extent cx="4872355" cy="450850"/>
                <wp:effectExtent l="0" t="0" r="0" b="0"/>
                <wp:wrapNone/>
                <wp:docPr id="12" name="Скругленный 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45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 xml:space="preserve">МФЦ передает заявление и полный пакет документов в учреждение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11">
                <wp:simplePos x="0" y="0"/>
                <wp:positionH relativeFrom="column">
                  <wp:posOffset>1629410</wp:posOffset>
                </wp:positionH>
                <wp:positionV relativeFrom="paragraph">
                  <wp:posOffset>5086985</wp:posOffset>
                </wp:positionV>
                <wp:extent cx="5715" cy="233680"/>
                <wp:effectExtent l="0" t="0" r="0" b="0"/>
                <wp:wrapNone/>
                <wp:docPr id="14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05" distL="114300" distR="140970" simplePos="0" locked="0" layoutInCell="1" allowOverlap="1" relativeHeight="12">
                <wp:simplePos x="0" y="0"/>
                <wp:positionH relativeFrom="column">
                  <wp:posOffset>1129665</wp:posOffset>
                </wp:positionH>
                <wp:positionV relativeFrom="paragraph">
                  <wp:posOffset>6290945</wp:posOffset>
                </wp:positionV>
                <wp:extent cx="4226560" cy="641350"/>
                <wp:effectExtent l="0" t="0" r="0" b="0"/>
                <wp:wrapNone/>
                <wp:docPr id="15" name="Скругленный 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040" cy="64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Arial" w:hAnsi="Arial" w:eastAsia="Calibri" w:cs="Tahoma"/>
                                <w:b w:val="false"/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Arial" w:hAnsi="Arial"/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>Уведомление заявителя о принятом решении</w:t>
                            </w:r>
                          </w:p>
                          <w:p>
                            <w:pPr>
                              <w:pStyle w:val="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ahoma" w:ascii="Arial" w:hAnsi="Arial"/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>(по телефону,  почте, по электронной почте)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765" distL="114300" distR="133350" simplePos="0" locked="0" layoutInCell="1" allowOverlap="1" relativeHeight="13">
                <wp:simplePos x="0" y="0"/>
                <wp:positionH relativeFrom="column">
                  <wp:posOffset>3744595</wp:posOffset>
                </wp:positionH>
                <wp:positionV relativeFrom="paragraph">
                  <wp:posOffset>2824480</wp:posOffset>
                </wp:positionV>
                <wp:extent cx="2786380" cy="746760"/>
                <wp:effectExtent l="0" t="0" r="0" b="0"/>
                <wp:wrapNone/>
                <wp:docPr id="17" name="Скругленный 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680" cy="74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Д</w:t>
                            </w: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>олжностное лицо учреждения, сотрудник МФЦ направляет межведомственные  запросы в соответствующие органы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15">
                <wp:simplePos x="0" y="0"/>
                <wp:positionH relativeFrom="column">
                  <wp:posOffset>1682750</wp:posOffset>
                </wp:positionH>
                <wp:positionV relativeFrom="paragraph">
                  <wp:posOffset>6153150</wp:posOffset>
                </wp:positionV>
                <wp:extent cx="5715" cy="233680"/>
                <wp:effectExtent l="0" t="0" r="0" b="0"/>
                <wp:wrapNone/>
                <wp:docPr id="19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16">
                <wp:simplePos x="0" y="0"/>
                <wp:positionH relativeFrom="column">
                  <wp:posOffset>3139440</wp:posOffset>
                </wp:positionH>
                <wp:positionV relativeFrom="paragraph">
                  <wp:posOffset>4234815</wp:posOffset>
                </wp:positionV>
                <wp:extent cx="5715" cy="233680"/>
                <wp:effectExtent l="0" t="0" r="0" b="0"/>
                <wp:wrapNone/>
                <wp:docPr id="20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8415" distL="114300" distR="142875" simplePos="0" locked="0" layoutInCell="1" allowOverlap="1" relativeHeight="17">
                <wp:simplePos x="0" y="0"/>
                <wp:positionH relativeFrom="column">
                  <wp:posOffset>749300</wp:posOffset>
                </wp:positionH>
                <wp:positionV relativeFrom="paragraph">
                  <wp:posOffset>4463415</wp:posOffset>
                </wp:positionV>
                <wp:extent cx="4872355" cy="700405"/>
                <wp:effectExtent l="0" t="0" r="0" b="0"/>
                <wp:wrapNone/>
                <wp:docPr id="21" name="Скругленный 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69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Arial" w:hAnsi="Arial" w:eastAsia="Calibri" w:cs="Tahoma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 xml:space="preserve">Должностное лицо учреждения осуществляет проверку представленных документов, передает в управление 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8415" distL="114300" distR="133350" simplePos="0" locked="0" layoutInCell="1" allowOverlap="1" relativeHeight="18">
                <wp:simplePos x="0" y="0"/>
                <wp:positionH relativeFrom="column">
                  <wp:posOffset>3761105</wp:posOffset>
                </wp:positionH>
                <wp:positionV relativeFrom="paragraph">
                  <wp:posOffset>1927860</wp:posOffset>
                </wp:positionV>
                <wp:extent cx="2729230" cy="713740"/>
                <wp:effectExtent l="0" t="0" r="0" b="0"/>
                <wp:wrapNone/>
                <wp:docPr id="23" name="Скругленный 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40" cy="71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 xml:space="preserve">Заявление подано без документов предоставляемых по желанию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7145" distL="114300" distR="138430" simplePos="0" locked="0" layoutInCell="1" allowOverlap="1" relativeHeight="20">
                <wp:simplePos x="0" y="0"/>
                <wp:positionH relativeFrom="column">
                  <wp:posOffset>-21590</wp:posOffset>
                </wp:positionH>
                <wp:positionV relativeFrom="paragraph">
                  <wp:posOffset>278765</wp:posOffset>
                </wp:positionV>
                <wp:extent cx="6419850" cy="521335"/>
                <wp:effectExtent l="0" t="0" r="0" b="0"/>
                <wp:wrapNone/>
                <wp:docPr id="25" name="Скругленный 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160" cy="52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Arial" w:hAnsi="Arial" w:cs="Arial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  <w:t xml:space="preserve">Заявитель обращается в учреждение, МФЦ лично или по почте, в форме электронного документа с использованием федерального или регионального портала. 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6675" distL="209550" distR="171450" simplePos="0" locked="0" layoutInCell="1" allowOverlap="1" relativeHeight="21">
                <wp:simplePos x="0" y="0"/>
                <wp:positionH relativeFrom="column">
                  <wp:posOffset>1629410</wp:posOffset>
                </wp:positionH>
                <wp:positionV relativeFrom="paragraph">
                  <wp:posOffset>2707640</wp:posOffset>
                </wp:positionV>
                <wp:extent cx="5715" cy="1160145"/>
                <wp:effectExtent l="0" t="0" r="0" b="0"/>
                <wp:wrapNone/>
                <wp:docPr id="27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1159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22">
                <wp:simplePos x="0" y="0"/>
                <wp:positionH relativeFrom="column">
                  <wp:posOffset>4632960</wp:posOffset>
                </wp:positionH>
                <wp:positionV relativeFrom="paragraph">
                  <wp:posOffset>1729740</wp:posOffset>
                </wp:positionV>
                <wp:extent cx="1270" cy="198755"/>
                <wp:effectExtent l="0" t="0" r="0" b="0"/>
                <wp:wrapNone/>
                <wp:docPr id="28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23">
                <wp:simplePos x="0" y="0"/>
                <wp:positionH relativeFrom="column">
                  <wp:posOffset>4712970</wp:posOffset>
                </wp:positionH>
                <wp:positionV relativeFrom="paragraph">
                  <wp:posOffset>6153150</wp:posOffset>
                </wp:positionV>
                <wp:extent cx="5715" cy="233680"/>
                <wp:effectExtent l="0" t="0" r="0" b="0"/>
                <wp:wrapNone/>
                <wp:docPr id="29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3335" distL="114300" distR="140970" simplePos="0" locked="0" layoutInCell="1" allowOverlap="1" relativeHeight="24">
                <wp:simplePos x="0" y="0"/>
                <wp:positionH relativeFrom="column">
                  <wp:posOffset>1125855</wp:posOffset>
                </wp:positionH>
                <wp:positionV relativeFrom="paragraph">
                  <wp:posOffset>7214235</wp:posOffset>
                </wp:positionV>
                <wp:extent cx="4225290" cy="857250"/>
                <wp:effectExtent l="0" t="0" r="0" b="0"/>
                <wp:wrapNone/>
                <wp:docPr id="30" name="Скругленный прямоугольник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00" cy="85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25">
                <wp:simplePos x="0" y="0"/>
                <wp:positionH relativeFrom="column">
                  <wp:posOffset>4627880</wp:posOffset>
                </wp:positionH>
                <wp:positionV relativeFrom="paragraph">
                  <wp:posOffset>3634105</wp:posOffset>
                </wp:positionV>
                <wp:extent cx="5715" cy="233680"/>
                <wp:effectExtent l="0" t="0" r="0" b="0"/>
                <wp:wrapNone/>
                <wp:docPr id="31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0160" distL="114300" distR="142875" simplePos="0" locked="0" layoutInCell="1" allowOverlap="1" relativeHeight="26">
                <wp:simplePos x="0" y="0"/>
                <wp:positionH relativeFrom="column">
                  <wp:posOffset>712470</wp:posOffset>
                </wp:positionH>
                <wp:positionV relativeFrom="paragraph">
                  <wp:posOffset>998855</wp:posOffset>
                </wp:positionV>
                <wp:extent cx="5144770" cy="742315"/>
                <wp:effectExtent l="0" t="0" r="0" b="0"/>
                <wp:wrapNone/>
                <wp:docPr id="32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040" cy="74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Д</w:t>
                            </w:r>
                            <w:r>
                              <w:rPr>
                                <w:rFonts w:ascii="Arial" w:hAnsi="Arial"/>
                                <w:color w:val="00000A"/>
                                <w:sz w:val="20"/>
                                <w:szCs w:val="20"/>
                              </w:rPr>
                              <w:t>олжностное лицо учреждения, сотрудник МФЦ регистрирует заявление, выдает расписку или направляет уведомление о принятии заявления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8575" distL="114300" distR="133350" simplePos="0" locked="0" layoutInCell="1" allowOverlap="1" relativeHeight="28">
                <wp:simplePos x="0" y="0"/>
                <wp:positionH relativeFrom="column">
                  <wp:posOffset>-31115</wp:posOffset>
                </wp:positionH>
                <wp:positionV relativeFrom="paragraph">
                  <wp:posOffset>5391785</wp:posOffset>
                </wp:positionV>
                <wp:extent cx="2710180" cy="645160"/>
                <wp:effectExtent l="0" t="0" r="0" b="0"/>
                <wp:wrapNone/>
                <wp:docPr id="34" name="Скругленный 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20" cy="64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0"/>
                                <w:szCs w:val="20"/>
                              </w:rPr>
                              <w:t>Управлением принято решение о предоставлении государственной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8575" distL="114300" distR="133350" simplePos="0" locked="0" layoutInCell="1" allowOverlap="1" relativeHeight="30">
                <wp:simplePos x="0" y="0"/>
                <wp:positionH relativeFrom="column">
                  <wp:posOffset>-3810</wp:posOffset>
                </wp:positionH>
                <wp:positionV relativeFrom="paragraph">
                  <wp:posOffset>1900555</wp:posOffset>
                </wp:positionV>
                <wp:extent cx="2653030" cy="908685"/>
                <wp:effectExtent l="0" t="0" r="0" b="0"/>
                <wp:wrapNone/>
                <wp:docPr id="36" name="Скругленный 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480" cy="90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Arial" w:hAnsi="Arial" w:eastAsia="Calibri" w:cs="Tahoma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Arial" w:hAnsi="Arial"/>
                                <w:color w:val="00000A"/>
                                <w:sz w:val="20"/>
                                <w:szCs w:val="20"/>
                                <w:lang w:val="ru-RU" w:eastAsia="en-US" w:bidi="ar-SA"/>
                              </w:rPr>
                              <w:t xml:space="preserve">Заявление подано с документами, предоставляемыми по желанию 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57150" distL="209550" distR="171450" simplePos="0" locked="0" layoutInCell="1" allowOverlap="1" relativeHeight="37">
                <wp:simplePos x="0" y="0"/>
                <wp:positionH relativeFrom="column">
                  <wp:posOffset>3192780</wp:posOffset>
                </wp:positionH>
                <wp:positionV relativeFrom="paragraph">
                  <wp:posOffset>6961505</wp:posOffset>
                </wp:positionV>
                <wp:extent cx="5715" cy="233680"/>
                <wp:effectExtent l="0" t="0" r="0" b="0"/>
                <wp:wrapNone/>
                <wp:docPr id="38" name="Прямая со стрелко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  <w:t>Приложение 4</w: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  <w:t>к Регламенту</w: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Министерство здравоохранения и социального развития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(наименование и адрес органа, осуществляющего пенсионное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обеспечение, или органа социальной защиты населения)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НАПРАВЛЕНИЕ НА МЕДИКО-СОЦИАЛЬНУЮ ЭКСПЕРТИЗУ,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ВЫДАВАЕМОЕ ОРГАНОМ, ОСУЩЕСТВЛЯЮЩИМ ПЕНСИОННОЕ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ОБЕСПЕЧЕНИЕ, ИЛИ ОРГАНОМ СОЦИАЛЬНОЙ ЗАЩИТЫ НАСЕЛЕНИЯ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Дата выдачи "_______" ___________________ 20____ г.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1. Фамилия, имя, отчество гражданина, направляемого на медико-социальную экспертизу: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 Дата рождения: _________________________________ 3. Пол: 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4. Адрес места жительства (при отсутствии места жительства - адрес места пребывания,  фактического проживания на территории Российской Федерации, места нахождения пенсионного дела гражданина, выехавшего за пределы Российской Федерации) (указываемое подчеркнуть):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</w:t>
      </w:r>
      <w:r>
        <w:rPr>
          <w:rFonts w:eastAsia="Times New Roman" w:cs="Arial" w:ascii="Arial" w:hAnsi="Arial"/>
          <w:sz w:val="20"/>
          <w:szCs w:val="20"/>
          <w:lang w:eastAsia="ru-RU"/>
        </w:rPr>
        <w:t>__________</w:t>
      </w:r>
      <w:r>
        <w:rPr>
          <w:rFonts w:eastAsia="Times New Roman" w:cs="Arial" w:ascii="Arial" w:hAnsi="Arial"/>
          <w:sz w:val="20"/>
          <w:szCs w:val="20"/>
          <w:lang w:eastAsia="ru-RU"/>
        </w:rPr>
        <w:t>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5. Документы, удостоверяющие личность гражданина, направляемого на медико-социальную экспертизу, его место жительства или пребывания на территории Российской Федерации: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наименование документа ____________________________ серия __________ N 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кем выдан __________________________________________________________________ когда выдан 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6. Фамилия, имя, отчество законного представителя гражданина, направляемого на медико-социальную экспертизу (заполняется при наличии законного представителя):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7. Документы, удостоверяющие личность законного представителя гражданина, направляемого на медико-социальную экспертизу (заполняется при наличии законного представителя):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наименование документа _______________________ серия ____________ N ________ кем выдан __________________________________________________________________ когда выдан 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8. Социальная категория (нужное подчеркнуть): инвалид первой, второй, третьей группы; "ребенок-инвалид"; получатель пенсии (указать вид пенсии___________________________________________);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получатель социальной выплаты, имеющий право на меры социальной поддержки в соответствии с законодательством Российской Федерации; безработный; другое (вписать)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9. Особая социальная категория (нужное подчеркнуть): участник ликвидации последствий  катастрофы на Чернобыльской АЭС; участник ликвидации последствий аварии на ПО "Маяк"; участник ликвидации последствий радиационных аварий и катастроф на других объектах (кроме Чернобыльской АЭС и ПО "Маяк"); лицо, проживающее на радиационно загрязненной территории; ветеран подразделения особого риска; ветеран Великой Отечественной войны; ветеран боевых действий; участник контртеррористической операции на территории Чеченской Республики; бывший военнослужащий Российской (Советской) Армии; другое (вписать)______________________________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10. Документы, подтверждающие отношение к социальной (особой социальной) категории: наименование документа ____________________________ серия ___________ N ____________кем выдан ______________________________ когда выдан 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11. Наименование и адрес места работы:  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12. Кем работает на момент направления на медико-социальную экспертизу: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(указать должность, профессию, специальность, квалификацию, продолжительность работы по указываемой профессии, специальности, должности; если не работает, внести запись "не работает")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13. Наименование и адрес образовательного учреждения, образовательного учреждения профессионального образования (указываемое подчеркнуть): 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14. Группа, класс, курс (указываемое подчеркнуть):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15. Профессия (специальность), для получения которой проводится обучение: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16. Семейное положение (нужное подчеркнуть): одинокий; семейный; ребенок-сирота; ребенок, оставшийся без попечения родителей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17. Характеристика семьи (нужное подчеркнуть): полная; полная многодетная; неполная; неполная многодетная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18. Роль в семье (нужное  подчеркнуть): кормилец (указать число иждивенцев: _______), иждивенец, член семьи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19. Количество членов семьи: ____________, в том числе детей: _______; из числа членов семьи количество инвалидов: ____________, в том числе детей-инвалидов: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20. Вид жилья (нужное подчеркнуть): не имеет жилья; комната в коммунальной квартире; отдельная квартира; собственный дом (часть дома); комната в общежитии; жилое помещение в учреждении социального обслуживания; иное (указать</w:t>
      </w:r>
      <w:r>
        <w:rPr>
          <w:rFonts w:eastAsia="Times New Roman" w:cs="Arial" w:ascii="Arial" w:hAnsi="Arial"/>
          <w:sz w:val="20"/>
          <w:szCs w:val="20"/>
          <w:lang w:eastAsia="ru-RU"/>
        </w:rPr>
        <w:t>)________________________</w:t>
      </w: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21. Наличие в жилье основных видов удобств (нужное подчеркнуть): лифт, мусоропровод,  горячая вода, холодная вода, канализация, ванная (душ), центральное паровое отопление, печное отопление, газ, электричество, телефон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22. Пункты 11 - 21 настоящего Направления заполнены (нужное подчеркнуть) со слов гражданина, направляемого на медико-социальную экспертизу; со слов его законного представителя; предъявленных документов (перечислить): 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23. Признаки ограничения жизнедеятельности, вызывающие нуждаемость в мерах социальной защиты (указываемое подчеркнуть): полная или частичная утрата   способности или возможности осуществлять самообслуживание, самостоятельно   передвигаться, ориентироваться, общаться, контролировать свое поведение, обучаться, заниматься трудовой деятельностью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24. Перечень предъявленных медицинских документов (амбулаторная карта, выписки из стационаров, справки медицинских организаций, заключения врачей-специалистов,  другие медицинские документы), подтверждающих нарушения функций организма вследствие заболеваний, последствий травм и дефектов: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а) _________________________________________________________________</w:t>
      </w:r>
      <w:r>
        <w:rPr>
          <w:rFonts w:eastAsia="Times New Roman" w:cs="Arial" w:ascii="Arial" w:hAnsi="Arial"/>
          <w:sz w:val="20"/>
          <w:szCs w:val="20"/>
          <w:lang w:eastAsia="ru-RU"/>
        </w:rPr>
        <w:t>__________</w:t>
      </w:r>
      <w:r>
        <w:rPr>
          <w:rFonts w:eastAsia="Times New Roman" w:cs="Arial" w:ascii="Arial" w:hAnsi="Arial"/>
          <w:sz w:val="20"/>
          <w:szCs w:val="20"/>
          <w:lang w:eastAsia="ru-RU"/>
        </w:rPr>
        <w:t>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б) 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в) 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г) 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25. Цель направления на медико-социальную экспертизу (нужное подчеркнуть): для  установления инвалидности, уточнения формулировки причины инвалидности, сроков инвалидности; разработки (коррекции) индивидуальной программы реабилитации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или абилитации инвалида, ребенка-инвалида; </w:t>
      </w:r>
      <w:r>
        <w:rPr>
          <w:rFonts w:eastAsia="Times New Roman" w:cs="Arial" w:ascii="Arial" w:hAnsi="Arial"/>
          <w:sz w:val="20"/>
          <w:szCs w:val="20"/>
          <w:lang w:eastAsia="ru-RU"/>
        </w:rPr>
        <w:t>для другого (вписать)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Руководитель органа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социальной защиты населения           _____________             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ru-RU"/>
        </w:rPr>
        <w:t>М.П.                                                                     (подпись)                       (расшифровка   подписи)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  <w:t>Приложение 5</w: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  <w:t>к Регламенту</w:t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240" w:after="60"/>
        <w:ind w:left="275" w:right="0" w:hanging="0"/>
        <w:jc w:val="center"/>
        <w:outlineLvl w:val="0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СПРАВКА № ______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об отказе в направлении на медико-социальную экспертизу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(Фамилия, имя, отчество гражданина)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Адрес по месту регистрации 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Паспорт: серия _____________ № ____________, выдан «______» __________________________ года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 связи 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(указать причину отказа)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Вам/представляемому Вами гражданину 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  <w:lang w:eastAsia="ru-RU"/>
        </w:rPr>
        <w:t>(ФИО полностью)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отказано органом социальной защиты населения в направлении на медико-социальную экспертизу.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Руководитель управления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социальной защиты населения             ___________       __________________________________</w:t>
      </w:r>
    </w:p>
    <w:p>
      <w:pPr>
        <w:pStyle w:val="Normal"/>
        <w:spacing w:lineRule="auto" w:line="240" w:before="0" w:after="0"/>
        <w:ind w:left="2124" w:right="0" w:firstLine="708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                </w:t>
      </w:r>
      <w:r>
        <w:rPr>
          <w:rFonts w:eastAsia="Times New Roman" w:cs="Arial" w:ascii="Arial" w:hAnsi="Arial"/>
          <w:sz w:val="20"/>
          <w:szCs w:val="20"/>
          <w:lang w:eastAsia="ru-RU"/>
        </w:rPr>
        <w:t>(подпись)                      (расшифровка   подписи)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« ____»  _____________   20___ года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0"/>
          <w:szCs w:val="20"/>
          <w:lang w:eastAsia="ru-RU"/>
        </w:rPr>
      </w:pPr>
      <w:r>
        <w:rPr>
          <w:rFonts w:eastAsia="Times New Roman" w:cs="Arial" w:ascii="Arial" w:hAnsi="Arial"/>
          <w:spacing w:val="-3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324" w:right="0" w:hanging="0"/>
        <w:jc w:val="right"/>
        <w:rPr>
          <w:rFonts w:ascii="Arial" w:hAnsi="Arial" w:eastAsia="Times New Roman" w:cs="Arial"/>
          <w:spacing w:val="-3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3"/>
          <w:sz w:val="24"/>
          <w:szCs w:val="24"/>
          <w:lang w:eastAsia="ru-RU"/>
        </w:rPr>
      </w:r>
    </w:p>
    <w:p>
      <w:pPr>
        <w:pStyle w:val="ConsPlusNonformat"/>
        <w:ind w:left="0" w:right="0" w:hanging="0"/>
        <w:jc w:val="both"/>
        <w:rPr/>
      </w:pPr>
      <w:bookmarkStart w:id="52" w:name="Par56"/>
      <w:bookmarkStart w:id="53" w:name="Par101"/>
      <w:bookmarkStart w:id="54" w:name="Par126"/>
      <w:bookmarkStart w:id="55" w:name="Par173"/>
      <w:bookmarkStart w:id="56" w:name="Par189"/>
      <w:bookmarkStart w:id="57" w:name="Par190"/>
      <w:bookmarkStart w:id="58" w:name="Par191"/>
      <w:bookmarkStart w:id="59" w:name="Par192"/>
      <w:bookmarkStart w:id="60" w:name="Par194"/>
      <w:bookmarkStart w:id="61" w:name="Par256"/>
      <w:bookmarkStart w:id="62" w:name="Par441"/>
      <w:bookmarkStart w:id="63" w:name="Par549"/>
      <w:bookmarkStart w:id="64" w:name="Par562"/>
      <w:bookmarkStart w:id="65" w:name="Par1076"/>
      <w:bookmarkStart w:id="66" w:name="Par1152"/>
      <w:bookmarkStart w:id="67" w:name="Par1211"/>
      <w:bookmarkStart w:id="68" w:name="Par1228"/>
      <w:bookmarkStart w:id="69" w:name="Par1263"/>
      <w:bookmarkStart w:id="70" w:name="Par1288"/>
      <w:bookmarkStart w:id="71" w:name="Par1331"/>
      <w:bookmarkStart w:id="72" w:name="Par1347"/>
      <w:bookmarkStart w:id="73" w:name="Par1350"/>
      <w:bookmarkStart w:id="74" w:name="Par1405"/>
      <w:bookmarkStart w:id="75" w:name="Par1667"/>
      <w:bookmarkStart w:id="76" w:name="Par1681"/>
      <w:bookmarkStart w:id="77" w:name="Par1866"/>
      <w:bookmarkStart w:id="78" w:name="Par1978"/>
      <w:bookmarkStart w:id="79" w:name="Par38"/>
      <w:bookmarkStart w:id="80" w:name="Par56"/>
      <w:bookmarkStart w:id="81" w:name="Par101"/>
      <w:bookmarkStart w:id="82" w:name="Par126"/>
      <w:bookmarkStart w:id="83" w:name="Par173"/>
      <w:bookmarkStart w:id="84" w:name="Par189"/>
      <w:bookmarkStart w:id="85" w:name="Par190"/>
      <w:bookmarkStart w:id="86" w:name="Par191"/>
      <w:bookmarkStart w:id="87" w:name="Par192"/>
      <w:bookmarkStart w:id="88" w:name="Par194"/>
      <w:bookmarkStart w:id="89" w:name="Par256"/>
      <w:bookmarkStart w:id="90" w:name="Par441"/>
      <w:bookmarkStart w:id="91" w:name="Par549"/>
      <w:bookmarkStart w:id="92" w:name="Par562"/>
      <w:bookmarkStart w:id="93" w:name="Par1076"/>
      <w:bookmarkStart w:id="94" w:name="Par1152"/>
      <w:bookmarkStart w:id="95" w:name="Par1211"/>
      <w:bookmarkStart w:id="96" w:name="Par1228"/>
      <w:bookmarkStart w:id="97" w:name="Par1263"/>
      <w:bookmarkStart w:id="98" w:name="Par1288"/>
      <w:bookmarkStart w:id="99" w:name="Par1331"/>
      <w:bookmarkStart w:id="100" w:name="Par1347"/>
      <w:bookmarkStart w:id="101" w:name="Par1350"/>
      <w:bookmarkStart w:id="102" w:name="Par1405"/>
      <w:bookmarkStart w:id="103" w:name="Par1667"/>
      <w:bookmarkStart w:id="104" w:name="Par1681"/>
      <w:bookmarkStart w:id="105" w:name="Par1866"/>
      <w:bookmarkStart w:id="106" w:name="Par1978"/>
      <w:bookmarkStart w:id="107" w:name="Par38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>
          <w:rFonts w:ascii="Arial" w:hAnsi="Arial" w:eastAsia="Times New Roman" w:cs="Arial"/>
          <w:b/>
          <w:b/>
          <w:cap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aps/>
          <w:sz w:val="24"/>
          <w:szCs w:val="24"/>
          <w:lang w:eastAsia="ru-RU"/>
        </w:rPr>
      </w:r>
    </w:p>
    <w:p>
      <w:pPr>
        <w:pStyle w:val="Style19"/>
        <w:tabs>
          <w:tab w:val="right" w:pos="9360" w:leader="none"/>
        </w:tabs>
        <w:spacing w:lineRule="auto" w:line="240" w:before="0" w:after="0"/>
        <w:ind w:left="0" w:right="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yle19"/>
        <w:tabs>
          <w:tab w:val="right" w:pos="9360" w:leader="none"/>
        </w:tabs>
        <w:spacing w:lineRule="auto" w:line="240" w:before="0" w:after="0"/>
        <w:ind w:left="0" w:right="0" w:hanging="0"/>
        <w:jc w:val="right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sz w:val="24"/>
          <w:szCs w:val="24"/>
          <w:highlight w:val="whit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yle21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lineRule="auto" w:line="288"/>
      <w:jc w:val="center"/>
      <w:outlineLvl w:val="0"/>
      <w:outlineLvl w:val="0"/>
    </w:pPr>
    <w:rPr>
      <w:b/>
      <w:sz w:val="38"/>
      <w:szCs w:val="2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40"/>
      <w:szCs w:val="20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bCs/>
    </w:rPr>
  </w:style>
  <w:style w:type="paragraph" w:styleId="4">
    <w:name w:val="Heading 4"/>
    <w:basedOn w:val="Normal"/>
    <w:qFormat/>
    <w:pPr>
      <w:keepNext/>
      <w:numPr>
        <w:ilvl w:val="0"/>
        <w:numId w:val="0"/>
      </w:numPr>
      <w:suppressAutoHyphens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val="x-none" w:eastAsia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0">
    <w:name w:val="Основной шрифт абзаца"/>
    <w:qFormat/>
    <w:rPr/>
  </w:style>
  <w:style w:type="character" w:styleId="Style11">
    <w:name w:val="Основной текст с отступом Знак"/>
    <w:qFormat/>
    <w:rPr>
      <w:sz w:val="26"/>
      <w:szCs w:val="24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800000"/>
      <w:u w:val="single"/>
      <w:lang w:val="zxx" w:eastAsia="zxx"/>
    </w:rPr>
  </w:style>
  <w:style w:type="character" w:styleId="21">
    <w:name w:val="Основной шрифт абзаца2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rFonts w:ascii="Arial" w:hAnsi="Arial" w:cs="Arial"/>
      <w:b/>
      <w:sz w:val="26"/>
      <w:szCs w:val="20"/>
    </w:rPr>
  </w:style>
  <w:style w:type="paragraph" w:styleId="Style15">
    <w:name w:val="Body Text"/>
    <w:basedOn w:val="Normal"/>
    <w:pPr>
      <w:jc w:val="both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spacing w:lineRule="auto" w:line="360" w:before="0" w:after="120"/>
      <w:ind w:left="0" w:right="0" w:firstLine="567"/>
      <w:jc w:val="both"/>
    </w:pPr>
    <w:rPr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ing">
    <w:name w:val="Heading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EFBAA9FE5CC33C0605016C6FC8FB53E9DDCFA3BD05BCFD169F730v1y3J" TargetMode="External"/><Relationship Id="rId4" Type="http://schemas.openxmlformats.org/officeDocument/2006/relationships/hyperlink" Target="consultantplus://offline/ref=FEFBAA9FE5CC33C0605016C6FC8FB53E9ED3FE39D80898D338A23E1631B750A90D79865AE4FE4069vCy7J" TargetMode="External"/><Relationship Id="rId5" Type="http://schemas.openxmlformats.org/officeDocument/2006/relationships/hyperlink" Target="consultantplus://offline/ref=FEFBAA9FE5CC33C0605016C6FC8FB53E9ED2FB3FD80A98D338A23E1631vBy7J" TargetMode="External"/><Relationship Id="rId6" Type="http://schemas.openxmlformats.org/officeDocument/2006/relationships/hyperlink" Target="consultantplus://offline/ref=FEFBAA9FE5CC33C0605016C6FC8FB53E9ED7F83FDF0D98D338A23E1631B750A90D79865AE4FE4063vCy4J" TargetMode="External"/><Relationship Id="rId7" Type="http://schemas.openxmlformats.org/officeDocument/2006/relationships/hyperlink" Target="consultantplus://offline/ref=FEFBAA9FE5CC33C0605016C6FC8FB53E96D0F83AD906C5D930FB3214v3y6J" TargetMode="External"/><Relationship Id="rId8" Type="http://schemas.openxmlformats.org/officeDocument/2006/relationships/hyperlink" Target="consultantplus://offline/ref=FEFBAA9FE5CC33C0605016C6FC8FB53E96D0F83AD906C5D930FB3214v3y6J" TargetMode="External"/><Relationship Id="rId9" Type="http://schemas.openxmlformats.org/officeDocument/2006/relationships/hyperlink" Target="consultantplus://offline/ref=FEFBAA9FE5CC33C0605016C6FC8FB53E96D0F83AD906C5D930FB3214v3y6J" TargetMode="External"/><Relationship Id="rId10" Type="http://schemas.openxmlformats.org/officeDocument/2006/relationships/hyperlink" Target="consultantplus://offline/ref=FEFBAA9FE5CC33C0605016C6FC8FB53E96D0F83AD906C5D930FB3214v3y6J" TargetMode="External"/><Relationship Id="rId11" Type="http://schemas.openxmlformats.org/officeDocument/2006/relationships/hyperlink" Target="consultantplus://offline/main?base=LAW;n=121056;fld=134;dst=100420" TargetMode="External"/><Relationship Id="rId12" Type="http://schemas.openxmlformats.org/officeDocument/2006/relationships/hyperlink" Target="http://www.admtyumen.ru/" TargetMode="External"/><Relationship Id="rId13" Type="http://schemas.openxmlformats.org/officeDocument/2006/relationships/hyperlink" Target="http://www.admtyumen.ru/" TargetMode="External"/><Relationship Id="rId14" Type="http://schemas.openxmlformats.org/officeDocument/2006/relationships/hyperlink" Target="http://www.admtyumen.ru/" TargetMode="External"/><Relationship Id="rId15" Type="http://schemas.openxmlformats.org/officeDocument/2006/relationships/hyperlink" Target="http://www.admtyumen.ru/" TargetMode="External"/><Relationship Id="rId16" Type="http://schemas.openxmlformats.org/officeDocument/2006/relationships/hyperlink" Target="http://www.admtyumen.ru/" TargetMode="External"/><Relationship Id="rId17" Type="http://schemas.openxmlformats.org/officeDocument/2006/relationships/hyperlink" Target="mailto:dsoc@72to.ru" TargetMode="External"/><Relationship Id="rId18" Type="http://schemas.openxmlformats.org/officeDocument/2006/relationships/hyperlink" Target="mailto:dsoc@72to.ru" TargetMode="External"/><Relationship Id="rId19" Type="http://schemas.openxmlformats.org/officeDocument/2006/relationships/hyperlink" Target="mailto:dsoc@72to.ru" TargetMode="External"/><Relationship Id="rId20" Type="http://schemas.openxmlformats.org/officeDocument/2006/relationships/hyperlink" Target="mailto:dsoc@72to.ru" TargetMode="External"/><Relationship Id="rId21" Type="http://schemas.openxmlformats.org/officeDocument/2006/relationships/hyperlink" Target="mailto:dsoc@72to.ru" TargetMode="External"/><Relationship Id="rId22" Type="http://schemas.openxmlformats.org/officeDocument/2006/relationships/hyperlink" Target="mailto:orci72@yandex.ru" TargetMode="Externa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9318</TotalTime>
  <Application>LibreOffice/5.3.2.2$Windows_x86 LibreOffice_project/6cd4f1ef626f15116896b1d8e1398b56da0d0ee1</Application>
  <Pages>31</Pages>
  <Words>9189</Words>
  <Characters>73901</Characters>
  <CharactersWithSpaces>83181</CharactersWithSpaces>
  <Paragraphs>1225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2017-05-02T19:59:00Z</dcterms:created>
  <dc:creator>xolop</dc:creator>
  <dc:description/>
  <dc:language>ru-RU</dc:language>
  <cp:lastModifiedBy/>
  <cp:lastPrinted>2017-08-28T17:23:02Z</cp:lastPrinted>
  <dcterms:modified xsi:type="dcterms:W3CDTF">2017-09-05T17:31:32Z</dcterms:modified>
  <cp:revision>93</cp:revision>
  <dc:subject/>
  <dc:title>Постановление Правительства Тюменской области от 03.10.2014 N 510-п(ред. от 06.02.2017)"Об утверждении Порядка предоставления социальных услуг поставщиками социальных услуг в Тюменской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